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 w:hanging="11"/>
        <w:rPr>
          <w:sz w:val="28"/>
          <w:szCs w:val="28"/>
        </w:rPr>
      </w:pPr>
      <w:r>
        <w:rPr>
          <w:rStyle w:val="1157"/>
          <w:b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94197" cy="333862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9492935" name="Picture 3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707650" cy="3403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66pt;height:26.29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keepLines/>
        <w:keepNext/>
        <w:spacing w:before="0"/>
        <w:rPr>
          <w:b/>
          <w:bCs/>
          <w:caps/>
          <w:sz w:val="20"/>
          <w:szCs w:val="20"/>
        </w:rPr>
      </w:pPr>
      <w:r>
        <w:rPr>
          <w:b/>
          <w:bCs/>
          <w:sz w:val="20"/>
          <w:szCs w:val="20"/>
        </w:rPr>
        <w:t xml:space="preserve">Акционерное общество «Дальневосточная генерирующая компания»</w:t>
      </w:r>
      <w:r>
        <w:rPr>
          <w:b/>
          <w:bCs/>
          <w:caps/>
          <w:sz w:val="20"/>
          <w:szCs w:val="20"/>
        </w:rPr>
      </w:r>
      <w:r>
        <w:rPr>
          <w:b/>
          <w:bCs/>
          <w:caps/>
          <w:sz w:val="20"/>
          <w:szCs w:val="20"/>
        </w:rPr>
      </w:r>
    </w:p>
    <w:p>
      <w:pPr>
        <w:ind w:left="4395" w:hanging="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395" w:hanging="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«УТВЕРЖДАЮ»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</w:t>
      </w:r>
      <w:r>
        <w:rPr>
          <w:b w:val="0"/>
          <w:sz w:val="26"/>
          <w:szCs w:val="26"/>
        </w:rPr>
        <w:t xml:space="preserve">                    Председатель</w:t>
      </w:r>
      <w:r>
        <w:rPr>
          <w:b w:val="0"/>
          <w:sz w:val="26"/>
          <w:szCs w:val="26"/>
        </w:rPr>
        <w:t xml:space="preserve"> закупочной комиссии АО «ДГК» 1 уровня-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</w:rPr>
        <w:t xml:space="preserve">Заместитель Генерального директора 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</w:rPr>
        <w:t xml:space="preserve">по управлению ресурсами 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1158"/>
        <w:jc w:val="right"/>
        <w:spacing w:before="0" w:line="240" w:lineRule="auto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</w:t>
      </w:r>
      <w:r>
        <w:rPr>
          <w:b w:val="0"/>
          <w:sz w:val="26"/>
          <w:szCs w:val="26"/>
        </w:rPr>
        <w:t xml:space="preserve">            ___________ Д. А. Богонатов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ind w:hanging="11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0" w:hanging="11"/>
        <w:jc w:val="right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«___» _________2025 год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  <w:t xml:space="preserve">  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t xml:space="preserve">Аукцион</w:t>
      </w:r>
      <w:r>
        <w:t xml:space="preserve"> в электронной форме,</w:t>
      </w:r>
      <w:r>
        <w:br/>
        <w:t xml:space="preserve">участниками которого могут быть только субъекты МСП,</w:t>
      </w:r>
      <w:r>
        <w:br/>
      </w:r>
      <w:r>
        <w:t xml:space="preserve">на право заключения договора на </w:t>
      </w:r>
      <w:r>
        <w:t xml:space="preserve">ОКПД 2 27.33.13.130 Поставка арматуры кабельной для АО "ДГК" в Амурской области, Еврейской автономной области,  Приморском крае, Хабаровском крае, Республике Саха (Якутия)</w:t>
      </w:r>
      <w:r>
        <w:rPr>
          <w:rStyle w:val="1120"/>
        </w:rPr>
      </w:r>
      <w:r>
        <w:rPr>
          <w:rStyle w:val="1120"/>
        </w:rPr>
      </w:r>
    </w:p>
    <w:p>
      <w:pPr>
        <w:pStyle w:val="1115"/>
        <w:jc w:val="center"/>
        <w:keepNext/>
        <w:spacing w:before="240"/>
      </w:pPr>
      <w:r>
        <w:t xml:space="preserve">(</w:t>
      </w:r>
      <w:r>
        <w:t xml:space="preserve">Л</w:t>
      </w:r>
      <w:r>
        <w:t xml:space="preserve">от №</w:t>
      </w:r>
      <w:r>
        <w:t xml:space="preserve">42016100-ЭКСП ПРОД-2026-ДГК</w:t>
      </w:r>
      <w:r>
        <w:t xml:space="preserve">)  </w:t>
      </w:r>
      <w:r/>
    </w:p>
    <w:p>
      <w:pPr>
        <w:pStyle w:val="1115"/>
        <w:keepNext/>
      </w:pPr>
      <w:r/>
      <w:r/>
    </w:p>
    <w:p>
      <w:pPr>
        <w:pStyle w:val="1115"/>
        <w:sectPr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4"/>
        <w:outlineLvl w:val="2"/>
      </w:pPr>
      <w:r>
        <w:t xml:space="preserve">Содержание</w:t>
      </w:r>
      <w:r/>
    </w:p>
    <w:p>
      <w:pPr>
        <w:pStyle w:val="1128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5"/>
          </w:rPr>
        </w:r>
        <w:r>
          <w:rPr>
            <w:rStyle w:val="1125"/>
          </w:rPr>
          <w:t xml:space="preserve">Сокращения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5</w:t>
          <w:fldChar w:fldCharType="end"/>
        </w:r>
      </w:hyperlink>
      <w:r/>
      <w:r/>
    </w:p>
    <w:p>
      <w:pPr>
        <w:pStyle w:val="1128"/>
        <w:tabs>
          <w:tab w:val="right" w:pos="9923" w:leader="none"/>
        </w:tabs>
      </w:pPr>
      <w:r/>
      <w:hyperlink w:tooltip="#_Toc2" w:anchor="_Toc2" w:history="1">
        <w:r>
          <w:rPr>
            <w:rStyle w:val="1125"/>
          </w:rPr>
        </w:r>
        <w:r>
          <w:rPr>
            <w:rStyle w:val="1125"/>
          </w:rPr>
          <w:t xml:space="preserve">Термины и определения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Основные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Статус настоящего раздела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Информация о проводимой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11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16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16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Правовой статус документов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16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Обжалование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Особые положения при проведении закупки с использованием ЭП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18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Прочие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18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требования к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Коллективные участники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_Toc14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Генеральные подрядчики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_Toc15 \h</w:instrText>
          <w:fldChar w:fldCharType="separate"/>
          <w:t xml:space="preserve">21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_Toc16 \h</w:instrText>
          <w:fldChar w:fldCharType="separate"/>
          <w:t xml:space="preserve">23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Общий 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_Toc17 \h</w:instrText>
          <w:fldChar w:fldCharType="separate"/>
          <w:t xml:space="preserve">23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Официальное размещение Извещения и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_Toc18 \h</w:instrText>
          <w:fldChar w:fldCharType="separate"/>
          <w:t xml:space="preserve">25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Подготовка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_Toc19 \h</w:instrText>
          <w:fldChar w:fldCharType="separate"/>
          <w:t xml:space="preserve">25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Разъяснение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_Toc20 \h</w:instrText>
          <w:fldChar w:fldCharType="separate"/>
          <w:t xml:space="preserve">28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Изменения </w:t>
        </w:r>
        <w:r>
          <w:rPr>
            <w:rStyle w:val="1125"/>
          </w:rPr>
          <w:t xml:space="preserve">Извещени</w:t>
        </w:r>
        <w:r>
          <w:rPr>
            <w:rStyle w:val="1125"/>
          </w:rPr>
          <w:t xml:space="preserve">я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(или)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Документаци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_Toc21 \h</w:instrText>
          <w:fldChar w:fldCharType="separate"/>
          <w:t xml:space="preserve">29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Подача заявок и их прием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_Toc22 \h</w:instrText>
          <w:fldChar w:fldCharType="separate"/>
          <w:t xml:space="preserve">29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Изменение и отзыв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_Toc23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первым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_Toc24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</w:t>
        </w:r>
        <w:r>
          <w:rPr>
            <w:rStyle w:val="1125"/>
          </w:rPr>
          <w:t xml:space="preserve">первых частей </w:t>
        </w:r>
        <w:r>
          <w:rPr>
            <w:rStyle w:val="1125"/>
          </w:rPr>
          <w:t xml:space="preserve">заявок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(</w:t>
        </w:r>
        <w:r>
          <w:rPr>
            <w:rStyle w:val="1125"/>
          </w:rPr>
          <w:t xml:space="preserve">отборочная стадия</w:t>
        </w:r>
        <w:r>
          <w:rPr>
            <w:rStyle w:val="1125"/>
          </w:rPr>
          <w:t xml:space="preserve">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_Toc25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Проведение аукциона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_Toc26 \h</w:instrText>
          <w:fldChar w:fldCharType="separate"/>
          <w:t xml:space="preserve">32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ко вторым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_Toc27 \h</w:instrText>
          <w:fldChar w:fldCharType="separate"/>
          <w:t xml:space="preserve">33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вторых частей заявок</w:t>
        </w:r>
        <w:r>
          <w:rPr>
            <w:rStyle w:val="1125"/>
          </w:rPr>
          <w:t xml:space="preserve"> (отборочная стадия)</w:t>
        </w:r>
        <w:r>
          <w:rPr>
            <w:rStyle w:val="1125"/>
          </w:rPr>
          <w:t xml:space="preserve">, в том числе (при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необходимости) проведение аккредитации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_Toc28 \h</w:instrText>
          <w:fldChar w:fldCharType="separate"/>
          <w:t xml:space="preserve">33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ценовым предложениям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_Toc29 \h</w:instrText>
          <w:fldChar w:fldCharType="separate"/>
          <w:t xml:space="preserve">35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ценовых предложений (отборочная стадия)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_Toc30 \h</w:instrText>
          <w:fldChar w:fldCharType="separate"/>
          <w:t xml:space="preserve">35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запросы разъяснений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_Toc31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Оценка и сопоставление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_Toc32 \h</w:instrText>
          <w:fldChar w:fldCharType="separate"/>
          <w:t xml:space="preserve">37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Применение </w:t>
        </w:r>
        <w:r>
          <w:rPr>
            <w:rStyle w:val="1125"/>
          </w:rPr>
          <w:t xml:space="preserve">законодательства о национальном режиме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_Toc33 \h</w:instrText>
          <w:fldChar w:fldCharType="separate"/>
          <w:t xml:space="preserve">38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Подведение итогов закупки (определение Победителя)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_Toc34 \h</w:instrText>
          <w:fldChar w:fldCharType="separate"/>
          <w:t xml:space="preserve">38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Признание закупки несостоявшейся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_Toc35 \h</w:instrText>
          <w:fldChar w:fldCharType="separate"/>
          <w:t xml:space="preserve">40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Отказ от проведения закупки</w:t>
        </w:r>
        <w:r>
          <w:rPr>
            <w:rStyle w:val="1125"/>
          </w:rPr>
          <w:t xml:space="preserve"> (отмена закупки)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_Toc36 \h</w:instrText>
          <w:fldChar w:fldCharType="separate"/>
          <w:t xml:space="preserve">41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</w:t>
        </w:r>
        <w:r>
          <w:rPr>
            <w:rStyle w:val="1125"/>
          </w:rPr>
          <w:t xml:space="preserve"> проведения закупки с необходимостью обеспечения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_Toc37 \h</w:instrText>
          <w:fldChar w:fldCharType="separate"/>
          <w:t xml:space="preserve">41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 проведения м</w:t>
        </w:r>
        <w:r>
          <w:rPr>
            <w:rStyle w:val="1125"/>
          </w:rPr>
          <w:t xml:space="preserve">ноголотов</w:t>
        </w:r>
        <w:r>
          <w:rPr>
            <w:rStyle w:val="1125"/>
          </w:rPr>
          <w:t xml:space="preserve">ой</w:t>
        </w:r>
        <w:r>
          <w:rPr>
            <w:rStyle w:val="1125"/>
          </w:rPr>
          <w:t xml:space="preserve"> закупк</w:t>
        </w:r>
        <w:r>
          <w:rPr>
            <w:rStyle w:val="1125"/>
          </w:rPr>
          <w:t xml:space="preserve">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_Toc38 \h</w:instrText>
          <w:fldChar w:fldCharType="separate"/>
          <w:t xml:space="preserve">44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орядок заключения </w:t>
        </w:r>
        <w:r>
          <w:rPr>
            <w:rStyle w:val="1125"/>
          </w:rPr>
          <w:t xml:space="preserve">Д</w:t>
        </w:r>
        <w:r>
          <w:rPr>
            <w:rStyle w:val="1125"/>
          </w:rPr>
          <w:t xml:space="preserve">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_Toc39 \h</w:instrText>
          <w:fldChar w:fldCharType="separate"/>
          <w:t xml:space="preserve">46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_Toc40 \h</w:instrText>
          <w:fldChar w:fldCharType="separate"/>
          <w:t xml:space="preserve">46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Заключение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_Toc41 \h</w:instrText>
          <w:fldChar w:fldCharType="separate"/>
          <w:t xml:space="preserve">46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Уклонение Победителя от заключения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_Toc42 \h</w:instrText>
          <w:fldChar w:fldCharType="separate"/>
          <w:t xml:space="preserve">48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 – Технические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_Toc43 \h</w:instrText>
          <w:fldChar w:fldCharType="separate"/>
          <w:t xml:space="preserve">50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Техническим требованиям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_Toc44 \h</w:instrText>
          <w:fldChar w:fldCharType="separate"/>
          <w:t xml:space="preserve">50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2 – Проект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_Toc45 \h</w:instrText>
          <w:fldChar w:fldCharType="separate"/>
          <w:t xml:space="preserve">51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роекту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_Toc46 \h</w:instrText>
          <w:fldChar w:fldCharType="separate"/>
          <w:t xml:space="preserve">51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3 – 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_Toc47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требованиям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_Toc48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Обязательные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_Toc49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Специальные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_Toc50 \h</w:instrText>
          <w:fldChar w:fldCharType="separate"/>
          <w:t xml:space="preserve">55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Коллективным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_Toc51 \h</w:instrText>
          <w:fldChar w:fldCharType="separate"/>
          <w:t xml:space="preserve">55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Генеральным подрядчикам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_Toc52 \h</w:instrText>
          <w:fldChar w:fldCharType="separate"/>
          <w:t xml:space="preserve">56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4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_Toc53 \h</w:instrText>
          <w:fldChar w:fldCharType="separate"/>
          <w:t xml:space="preserve">58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</w:t>
        </w:r>
        <w:r>
          <w:rPr>
            <w:rStyle w:val="1125"/>
          </w:rPr>
          <w:t xml:space="preserve">м</w:t>
        </w:r>
        <w:r>
          <w:rPr>
            <w:rStyle w:val="1125"/>
          </w:rPr>
          <w:t xml:space="preserve">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_Toc54 \h</w:instrText>
          <w:fldChar w:fldCharType="separate"/>
          <w:t xml:space="preserve">58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5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_Toc55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Образцам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_Toc56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_Toc57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«Заверение об обстоятельствах»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_Toc58 \h</w:instrText>
          <w:fldChar w:fldCharType="separate"/>
          <w:t xml:space="preserve">59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6</w:t>
        </w:r>
        <w:r>
          <w:rPr>
            <w:rStyle w:val="1125"/>
          </w:rPr>
          <w:t xml:space="preserve"> –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_Toc59 \h</w:instrText>
          <w:fldChar w:fldCharType="separate"/>
          <w:t xml:space="preserve">61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_Toc60 \h</w:instrText>
          <w:fldChar w:fldCharType="separate"/>
          <w:t xml:space="preserve">61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7</w:t>
        </w:r>
        <w:r>
          <w:rPr>
            <w:rStyle w:val="1125"/>
          </w:rPr>
          <w:t xml:space="preserve"> – Отборочные критерии рассмотрения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_Toc61 \h</w:instrText>
          <w:fldChar w:fldCharType="separate"/>
          <w:t xml:space="preserve">63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5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5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  <w:t xml:space="preserve">63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  <w:t xml:space="preserve">64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  <w:t xml:space="preserve">67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5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5"/>
            <w:i w:val="0"/>
            <w:iCs w:val="0"/>
            <w:shd w:val="clear" w:color="auto" w:fill="auto"/>
          </w:rPr>
          <w:t xml:space="preserve">ок</w:t>
        </w:r>
        <w:r>
          <w:rPr>
            <w:rStyle w:val="1125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5"/>
            <w:i w:val="0"/>
            <w:iCs w:val="0"/>
            <w:shd w:val="clear" w:color="auto" w:fill="auto"/>
          </w:rPr>
          <w:t xml:space="preserve">е</w:t>
        </w:r>
        <w:r>
          <w:rPr>
            <w:rStyle w:val="1125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  <w:t xml:space="preserve">68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8</w:t>
        </w:r>
        <w:r>
          <w:rPr>
            <w:rStyle w:val="1125"/>
          </w:rPr>
          <w:t xml:space="preserve"> – 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_Toc66 \h</w:instrText>
          <w:fldChar w:fldCharType="separate"/>
          <w:t xml:space="preserve">71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_Toc67 \h</w:instrText>
          <w:fldChar w:fldCharType="separate"/>
          <w:t xml:space="preserve">71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9</w:t>
        </w:r>
        <w:r>
          <w:rPr>
            <w:rStyle w:val="1125"/>
          </w:rPr>
          <w:t xml:space="preserve"> – Обоснование НМЦ</w:t>
        </w:r>
        <w:r>
          <w:rPr>
            <w:rStyle w:val="1125"/>
          </w:rPr>
          <w:t xml:space="preserve"> 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_Toc68 \h</w:instrText>
          <w:fldChar w:fldCharType="separate"/>
          <w:t xml:space="preserve">72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Обоснованию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_Toc69 \h</w:instrText>
          <w:fldChar w:fldCharType="separate"/>
          <w:t xml:space="preserve">72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</w:t>
        </w:r>
        <w:r>
          <w:rPr>
            <w:rStyle w:val="1125"/>
          </w:rPr>
          <w:t xml:space="preserve">0</w:t>
        </w:r>
        <w:r>
          <w:rPr>
            <w:rStyle w:val="1125"/>
          </w:rPr>
          <w:t xml:space="preserve"> – Форма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_Toc70 \h</w:instrText>
          <w:fldChar w:fldCharType="separate"/>
          <w:t xml:space="preserve">73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форме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_Toc71 \h</w:instrText>
          <w:fldChar w:fldCharType="separate"/>
          <w:t xml:space="preserve">73</w:t>
          <w:fldChar w:fldCharType="end"/>
        </w:r>
      </w:hyperlink>
      <w:r/>
      <w:r/>
    </w:p>
    <w:p>
      <w:pPr>
        <w:pStyle w:val="1115"/>
      </w:pPr>
      <w:r>
        <w:fldChar w:fldCharType="end"/>
      </w:r>
      <w:r/>
    </w:p>
    <w:p>
      <w:pPr>
        <w:pStyle w:val="1115"/>
        <w:keepNext/>
        <w:spacing w:before="60"/>
        <w:rPr>
          <w:rStyle w:val="1146"/>
        </w:rPr>
      </w:pPr>
      <w:r>
        <w:rPr>
          <w:rStyle w:val="1146"/>
        </w:rPr>
        <w:t xml:space="preserve">[Примечание (дополнительные удобства работы с Документацией о закупке; </w:t>
      </w:r>
      <w:r>
        <w:rPr>
          <w:rStyle w:val="1146"/>
        </w:rPr>
        <w:t xml:space="preserve">Microsoft Word | </w:t>
      </w:r>
      <w:r>
        <w:rPr>
          <w:rStyle w:val="1146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6"/>
        </w:rPr>
        <w:t xml:space="preserve">):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6"/>
        </w:rPr>
        <w:t xml:space="preserve"> </w:t>
      </w:r>
      <w:r>
        <w:rPr>
          <w:rStyle w:val="1146"/>
        </w:rPr>
        <w:t xml:space="preserve">| </w:t>
      </w:r>
      <w:r>
        <w:rPr>
          <w:rStyle w:val="1146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переход по перекрестным и другим ссылкам осуществляется левым кликом мыши с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зажатой клавишей Ctrl, обратный возврат на место в тексте, с котор</w:t>
      </w:r>
      <w:r>
        <w:rPr>
          <w:rStyle w:val="1146"/>
        </w:rPr>
        <w:t xml:space="preserve">ого</w:t>
      </w:r>
      <w:r>
        <w:rPr>
          <w:rStyle w:val="1146"/>
        </w:rPr>
        <w:t xml:space="preserve"> был </w:t>
      </w:r>
      <w:r>
        <w:rPr>
          <w:rStyle w:val="1146"/>
        </w:rPr>
        <w:t xml:space="preserve">сделан</w:t>
      </w:r>
      <w:r>
        <w:rPr>
          <w:rStyle w:val="1146"/>
        </w:rPr>
        <w:t xml:space="preserve"> переход, осуществляется нажатием стрелки влево (←) с зажатой левой клавишей Alt</w:t>
      </w:r>
      <w:r>
        <w:rPr>
          <w:rStyle w:val="1146"/>
        </w:rPr>
        <w:t xml:space="preserve"> </w:t>
      </w:r>
      <w:r>
        <w:rPr>
          <w:rStyle w:val="1146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6"/>
        </w:rPr>
        <w:t xml:space="preserve">е</w:t>
      </w:r>
      <w:r>
        <w:rPr>
          <w:rStyle w:val="1146"/>
        </w:rPr>
        <w:t xml:space="preserve"> документа (файла) в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тексте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6"/>
        </w:rPr>
        <w:t xml:space="preserve">.]</w:t>
      </w:r>
      <w:r>
        <w:rPr>
          <w:rStyle w:val="1146"/>
        </w:rPr>
      </w:r>
      <w:r>
        <w:rPr>
          <w:rStyle w:val="1146"/>
        </w:rPr>
      </w:r>
    </w:p>
    <w:p>
      <w:pPr>
        <w:pStyle w:val="1114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5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5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5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5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5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5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5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5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5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4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5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5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5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5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5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5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5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5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5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3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5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3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5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9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>
        <w:t xml:space="preserve">  </w:t>
      </w:r>
      <w:r/>
    </w:p>
    <w:p>
      <w:pPr>
        <w:pStyle w:val="1110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11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1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</w:t>
        </w:r>
        <w:r>
          <w:rPr>
            <w:rStyle w:val="1139"/>
          </w:rPr>
          <w:t xml:space="preserve">ях (Приложение № 1)</w:t>
        </w:r>
      </w:hyperlink>
      <w:r>
        <w:rPr>
          <w:rStyle w:val="1139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1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0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806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  <w:t xml:space="preserve">ОКПД 2 27.33.13.130 Поставка арматуры кабельной для АО «ДГК» в Амурской области, Еврейской автономной области,  Приморском крае, Хабаровском крае, Республике Саха (Якутия)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15"/>
              <w:rPr>
                <w:highlight w:val="none"/>
              </w:rPr>
            </w:pPr>
            <w:r>
              <w:t xml:space="preserve">Лот №</w:t>
            </w:r>
            <w:r>
              <w:t xml:space="preserve">42016100-ЭКСП ПРОД-2026-ДГК</w:t>
            </w:r>
            <w:r>
              <w:t xml:space="preserve"> 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Описание</w:t>
            </w:r>
            <w:r>
              <w:rPr>
                <w:color w:val="000000" w:themeColor="text1"/>
              </w:rPr>
              <w:br/>
              <w:t xml:space="preserve">предмета закупки: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Нет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38"/>
              <w:jc w:val="left"/>
              <w:spacing w:after="120"/>
            </w:pPr>
            <w:r>
              <w:t xml:space="preserve">Электронная торговая площадка: </w:t>
            </w:r>
            <w:hyperlink r:id="rId14" w:tooltip="https://corp.roseltorg.ru/#msp" w:anchor="msp" w:history="1">
              <w:r>
                <w:rPr>
                  <w:rStyle w:val="1125"/>
                  <w:b/>
                  <w:color w:val="7030a0"/>
                </w:rPr>
                <w:t xml:space="preserve">https://corp.roseltorg.ru</w:t>
              </w:r>
            </w:hyperlink>
            <w:r/>
            <w:r/>
          </w:p>
          <w:p>
            <w:pPr>
              <w:ind w:left="38"/>
              <w:jc w:val="left"/>
              <w:spacing w:after="120"/>
              <w:rPr>
                <w:i/>
                <w:shd w:val="clear" w:color="auto" w:fill="ffff99"/>
              </w:rPr>
            </w:pPr>
            <w:r>
              <w:t xml:space="preserve">Регламент ЭТП, в соответствии с которым проводится закупка, размещен по адресу</w:t>
            </w:r>
            <w:r>
              <w:rPr>
                <w:b/>
              </w:rPr>
              <w:t xml:space="preserve">: </w:t>
            </w:r>
            <w:r>
              <w:rPr>
                <w:i/>
                <w:shd w:val="clear" w:color="auto" w:fill="ffff99"/>
              </w:rPr>
            </w:r>
            <w:hyperlink r:id="rId15" w:tooltip="https://www.roseltorg.ru/personal/rushydro#additional_info" w:history="1">
              <w:r>
                <w:rPr>
                  <w:rStyle w:val="1125"/>
                </w:rPr>
                <w:t xml:space="preserve">https://www.roseltorg.ru/personal/rushydro#additional_info</w:t>
              </w:r>
              <w:r>
                <w:rPr>
                  <w:rStyle w:val="1125"/>
                </w:rPr>
              </w:r>
              <w:r>
                <w:rPr>
                  <w:rStyle w:val="1125"/>
                </w:rPr>
              </w:r>
            </w:hyperlink>
            <w:r>
              <w:t xml:space="preserve"> </w:t>
            </w:r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Наименование (полное и сокращенное): 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Акционерное общество «Дальневосточная генерирующая компания» (АО «ДГК»)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Место нахождения: 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680000, г. Хабаровск, ул. Фрунзе, д. 49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Почтовый адрес: 680000, г. Хабаровск, ул. Фрунзе, д. 49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bCs w:val="0"/>
                <w:i w:val="0"/>
                <w:sz w:val="26"/>
                <w:szCs w:val="26"/>
                <w:shd w:val="clear" w:color="auto" w:fill="auto"/>
                <w14:ligatures w14:val="none"/>
              </w:rPr>
            </w:pPr>
            <w:r>
              <w:rPr>
                <w:rStyle w:val="1157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  <w:t xml:space="preserve">Адрес электронной почты:</w:t>
            </w:r>
            <w:r>
              <w:rPr>
                <w:rStyle w:val="1157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  <w:t xml:space="preserve"> </w:t>
            </w:r>
            <w:hyperlink r:id="rId16" w:tooltip="http://dgk@dgk.ru" w:history="1">
              <w:r>
                <w:rPr>
                  <w:rStyle w:val="1157"/>
                  <w:b/>
                  <w:bCs/>
                  <w:i w:val="0"/>
                  <w:iCs w:val="0"/>
                  <w:color w:val="7030a0"/>
                  <w:sz w:val="26"/>
                  <w:szCs w:val="26"/>
                  <w:shd w:val="clear" w:color="auto" w:fill="auto"/>
                </w:rPr>
                <w:t xml:space="preserve">dgk@dgk.ru</w:t>
              </w:r>
              <w:r>
                <w:rPr>
                  <w:rStyle w:val="1157"/>
                  <w:b/>
                  <w:bCs/>
                  <w:i w:val="0"/>
                  <w:iCs w:val="0"/>
                  <w:color w:val="7030a0"/>
                  <w:sz w:val="26"/>
                  <w:szCs w:val="26"/>
                  <w:shd w:val="clear" w:color="auto" w:fill="auto"/>
                </w:rPr>
              </w:r>
              <w:r>
                <w:rPr>
                  <w:rStyle w:val="1157"/>
                  <w:b/>
                  <w:bCs/>
                  <w:i w:val="0"/>
                  <w:iCs w:val="0"/>
                  <w:color w:val="7030a0"/>
                  <w:sz w:val="26"/>
                  <w:szCs w:val="26"/>
                  <w:shd w:val="clear" w:color="auto" w:fill="auto"/>
                </w:rPr>
              </w:r>
            </w:hyperlink>
            <w:r>
              <w:rPr>
                <w:rStyle w:val="1157"/>
                <w:b/>
                <w:bCs/>
                <w:i w:val="0"/>
                <w:iCs w:val="0"/>
                <w:color w:val="7030a0"/>
                <w:sz w:val="26"/>
                <w:szCs w:val="26"/>
                <w:shd w:val="clear" w:color="auto" w:fill="auto"/>
              </w:rPr>
              <w:t xml:space="preserve"> </w:t>
            </w:r>
            <w:r>
              <w:rPr>
                <w:rStyle w:val="1157"/>
                <w:b/>
                <w:bCs/>
                <w:i w:val="0"/>
                <w:iCs w:val="0"/>
                <w:sz w:val="26"/>
                <w:szCs w:val="26"/>
                <w:shd w:val="clear" w:color="auto" w:fill="auto"/>
              </w:rPr>
              <w:t xml:space="preserve"> </w:t>
            </w:r>
            <w:r>
              <w:rPr>
                <w:b w:val="0"/>
                <w:bCs w:val="0"/>
                <w:i w:val="0"/>
                <w:sz w:val="26"/>
                <w:szCs w:val="26"/>
                <w:shd w:val="clear" w:color="auto" w:fill="auto"/>
                <w14:ligatures w14:val="none"/>
              </w:rPr>
            </w:r>
            <w:r>
              <w:rPr>
                <w:b w:val="0"/>
                <w:bCs w:val="0"/>
                <w:i w:val="0"/>
                <w:sz w:val="26"/>
                <w:szCs w:val="26"/>
                <w:shd w:val="clear" w:color="auto" w:fill="auto"/>
                <w14:ligatures w14:val="none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  <w:t xml:space="preserve">Кон</w:t>
            </w:r>
            <w:r>
              <w:rPr>
                <w:rStyle w:val="1157"/>
                <w:b w:val="0"/>
                <w:bCs w:val="0"/>
                <w:i w:val="0"/>
                <w:iCs w:val="0"/>
                <w:sz w:val="26"/>
                <w:szCs w:val="26"/>
                <w:shd w:val="clear" w:color="auto" w:fill="auto"/>
              </w:rPr>
              <w:t xml:space="preserve">тактный телефон: +7 (</w:t>
            </w: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4212) 26-42-43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58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/>
                <w:bCs/>
                <w:color w:val="7030a0"/>
                <w:sz w:val="26"/>
                <w:szCs w:val="26"/>
                <w:highlight w:val="none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r>
              <w:rPr>
                <w:b/>
                <w:bCs/>
                <w:color w:val="7030a0"/>
                <w:sz w:val="26"/>
                <w:szCs w:val="26"/>
              </w:rPr>
              <w:t xml:space="preserve"> </w:t>
            </w:r>
            <w:hyperlink r:id="rId17" w:tooltip="http://banschikova-iv@dgk.ru" w:history="1">
              <w:r>
                <w:rPr>
                  <w:rStyle w:val="1125"/>
                  <w:b/>
                  <w:bCs/>
                  <w:color w:val="7030a0"/>
                  <w:sz w:val="26"/>
                  <w:szCs w:val="26"/>
                </w:rPr>
                <w:t xml:space="preserve">banschikova-iv@dgk.ru</w:t>
              </w:r>
              <w:r>
                <w:rPr>
                  <w:rStyle w:val="1125"/>
                  <w:b/>
                  <w:bCs/>
                  <w:color w:val="7030a0"/>
                  <w:sz w:val="26"/>
                  <w:szCs w:val="26"/>
                </w:rPr>
              </w:r>
              <w:r>
                <w:rPr>
                  <w:rStyle w:val="1125"/>
                  <w:b/>
                  <w:bCs/>
                  <w:sz w:val="26"/>
                  <w:szCs w:val="26"/>
                  <w:highlight w:val="none"/>
                </w:rPr>
              </w:r>
            </w:hyperlink>
            <w:r>
              <w:rPr>
                <w:b/>
                <w:bCs/>
                <w:color w:val="7030a0"/>
                <w:sz w:val="26"/>
                <w:szCs w:val="26"/>
                <w:highlight w:val="none"/>
              </w:rPr>
            </w:r>
            <w:r>
              <w:rPr>
                <w:b/>
                <w:bCs/>
                <w:color w:val="7030a0"/>
                <w:sz w:val="26"/>
                <w:szCs w:val="26"/>
                <w:highlight w:val="none"/>
              </w:rPr>
            </w:r>
          </w:p>
          <w:p>
            <w:pPr>
              <w:pStyle w:val="1158"/>
              <w:spacing w:before="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26-42-87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58"/>
              <w:spacing w:before="0"/>
              <w:rPr>
                <w:rStyle w:val="1157"/>
                <w:b w:val="0"/>
                <w:bCs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Контактное лицо (ФИО):</w:t>
            </w:r>
            <w:r>
              <w:rPr>
                <w:rStyle w:val="1157"/>
                <w:b w:val="0"/>
                <w:bCs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rStyle w:val="1157"/>
                <w:b w:val="0"/>
                <w:bCs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 w:val="0"/>
                <w:bCs w:val="0"/>
                <w:i w:val="0"/>
                <w:sz w:val="26"/>
                <w:szCs w:val="26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Банщикова Ирина Владимировна</w:t>
            </w:r>
            <w:r>
              <w:rPr>
                <w:b w:val="0"/>
                <w:bCs w:val="0"/>
                <w:i w:val="0"/>
                <w:sz w:val="26"/>
                <w:szCs w:val="26"/>
              </w:rPr>
            </w:r>
            <w:r>
              <w:rPr>
                <w:b w:val="0"/>
                <w:bCs w:val="0"/>
                <w:i w:val="0"/>
                <w:sz w:val="26"/>
                <w:szCs w:val="26"/>
              </w:rPr>
            </w:r>
          </w:p>
          <w:p>
            <w:pPr>
              <w:pStyle w:val="1158"/>
              <w:spacing w:before="0"/>
              <w:rPr>
                <w:b w:val="0"/>
                <w:i w:val="0"/>
                <w:sz w:val="26"/>
                <w:szCs w:val="26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Контактный телефон: (4212) 26-42-87</w:t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  <w:r>
              <w:rPr>
                <w:b w:val="0"/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58"/>
              <w:spacing w:before="0"/>
              <w:rPr>
                <w:b/>
                <w:bCs/>
                <w:i w:val="0"/>
                <w:color w:val="7030a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Style w:val="1157"/>
                <w:b w:val="0"/>
                <w:i w:val="0"/>
                <w:sz w:val="26"/>
                <w:szCs w:val="26"/>
                <w:shd w:val="clear" w:color="auto" w:fill="auto"/>
              </w:rPr>
              <w:t xml:space="preserve">Адрес электронной почты: </w:t>
            </w:r>
            <w:hyperlink r:id="rId18" w:tooltip="http://banschikova-iv@dgk.ru" w:history="1">
              <w:r>
                <w:rPr>
                  <w:rStyle w:val="1125"/>
                  <w:b/>
                  <w:bCs/>
                  <w:i w:val="0"/>
                  <w:color w:val="7030a0"/>
                  <w:sz w:val="26"/>
                  <w:szCs w:val="26"/>
                  <w:shd w:val="clear" w:color="auto" w:fill="auto"/>
                </w:rPr>
                <w:t xml:space="preserve">banschikova-iv@dgk.ru</w:t>
              </w:r>
              <w:r>
                <w:rPr>
                  <w:rStyle w:val="1125"/>
                  <w:b/>
                  <w:bCs/>
                  <w:i w:val="0"/>
                  <w:color w:val="7030a0"/>
                  <w:sz w:val="26"/>
                  <w:szCs w:val="26"/>
                  <w:shd w:val="clear" w:color="auto" w:fill="auto"/>
                </w:rPr>
              </w:r>
              <w:r>
                <w:rPr>
                  <w:rStyle w:val="1125"/>
                  <w:b w:val="0"/>
                  <w:bCs w:val="0"/>
                  <w:i w:val="0"/>
                  <w:color w:val="7030a0"/>
                  <w:sz w:val="26"/>
                  <w:szCs w:val="26"/>
                  <w:highlight w:val="none"/>
                  <w:shd w:val="clear" w:color="auto" w:fill="auto"/>
                </w:rPr>
              </w:r>
            </w:hyperlink>
            <w:r>
              <w:rPr>
                <w:b/>
                <w:bCs/>
                <w:i w:val="0"/>
                <w:color w:val="7030a0"/>
                <w:sz w:val="26"/>
                <w:szCs w:val="26"/>
                <w:highlight w:val="none"/>
                <w:shd w:val="clear" w:color="auto" w:fill="auto"/>
              </w:rPr>
            </w:r>
            <w:r>
              <w:rPr>
                <w:b/>
                <w:bCs/>
                <w:i w:val="0"/>
                <w:color w:val="7030a0"/>
                <w:sz w:val="26"/>
                <w:szCs w:val="26"/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«03»</w:t>
            </w:r>
            <w:r>
              <w:rPr>
                <w:b/>
                <w:bCs/>
              </w:rPr>
              <w:t xml:space="preserve"> декабря</w:t>
            </w:r>
            <w:r>
              <w:rPr>
                <w:b/>
                <w:bCs/>
              </w:rPr>
              <w:t xml:space="preserve"> 2025г. 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НМЦ составляет </w:t>
            </w:r>
            <w:r>
              <w:rPr>
                <w:b/>
                <w:bCs/>
              </w:rPr>
              <w:t xml:space="preserve">3 954 707,59</w:t>
            </w:r>
            <w:r>
              <w:t xml:space="preserve"> </w:t>
            </w:r>
            <w:r>
              <w:rPr>
                <w:b/>
                <w:bCs/>
              </w:rPr>
              <w:t xml:space="preserve">руб</w:t>
            </w:r>
            <w:r>
              <w:t xml:space="preserve">., без учета НДС.</w:t>
            </w:r>
            <w:r/>
          </w:p>
          <w:p>
            <w:pPr>
              <w:pStyle w:val="1115"/>
              <w:rPr>
                <w:highlight w:val="white"/>
              </w:rPr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</w:t>
            </w:r>
            <w:r>
              <w:rPr>
                <w:highlight w:val="white"/>
              </w:rP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9"/>
                  <w:highlight w:val="white"/>
                </w:rPr>
                <w:t xml:space="preserve">Приложение № 4</w:t>
              </w:r>
            </w:hyperlink>
            <w:r>
              <w:rPr>
                <w:highlight w:val="white"/>
              </w:rPr>
              <w:t xml:space="preserve">)</w:t>
            </w:r>
            <w:r>
              <w:rPr>
                <w:highlight w:val="white"/>
              </w:rPr>
              <w:t xml:space="preserve">)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1115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9"/>
                </w:rPr>
                <w:t xml:space="preserve">Приложени</w:t>
              </w:r>
              <w:r>
                <w:rPr>
                  <w:rStyle w:val="1139"/>
                </w:rPr>
                <w:t xml:space="preserve">и</w:t>
              </w:r>
              <w:r>
                <w:rPr>
                  <w:rStyle w:val="1139"/>
                </w:rPr>
                <w:t xml:space="preserve">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9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0,5% – 5,0% от НМЦ, что составляет:</w:t>
            </w:r>
            <w:r/>
          </w:p>
          <w:p>
            <w:pPr>
              <w:pStyle w:val="1115"/>
            </w:pPr>
            <w:r>
              <w:t xml:space="preserve">19 773,54 руб. – 197 735,38 руб., без учета НДС.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  <w:highlight w:val="none"/>
              </w:rPr>
            </w:pPr>
            <w:r>
              <w:rPr>
                <w:b/>
                <w:bCs/>
              </w:rPr>
              <w:t xml:space="preserve">Не требуется.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11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highlight w:val="none"/>
              </w:rPr>
            </w:pP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t xml:space="preserve"> </w:t>
            </w:r>
            <w:r>
              <w:t xml:space="preserve">параметрам эквивалентности, указанным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</w:t>
              </w:r>
              <w:r>
                <w:rPr>
                  <w:rStyle w:val="1139"/>
                </w:rPr>
                <w:t xml:space="preserve">я</w:t>
              </w:r>
              <w:r>
                <w:rPr>
                  <w:rStyle w:val="1139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предложения</w:t>
            </w:r>
            <w:r>
              <w:t xml:space="preserve"> (форма </w:t>
            </w:r>
            <w:r>
              <w:t xml:space="preserve">4</w:t>
            </w:r>
            <w:r>
              <w:t xml:space="preserve">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</w:t>
              </w:r>
              <w:r>
                <w:rPr>
                  <w:rStyle w:val="1139"/>
                </w:rPr>
                <w:t xml:space="preserve">4</w:t>
              </w:r>
            </w:hyperlink>
            <w:r>
              <w:t xml:space="preserve">)</w:t>
            </w:r>
            <w:r>
              <w:t xml:space="preserve">.</w:t>
            </w:r>
            <w:r>
              <w:rPr>
                <w:highlight w:val="none"/>
              </w:rPr>
            </w:r>
          </w:p>
          <w:p>
            <w:pPr>
              <w:pStyle w:val="1115"/>
            </w:pPr>
            <w:r>
              <w:rPr>
                <w:highlight w:val="none"/>
              </w:rPr>
              <w:t xml:space="preserve">- Участник должен принять во внимание, что ссылка на марку (тип) продукции носит описательный, а не обязательный характер.</w:t>
            </w:r>
            <w:r>
              <w:rPr>
                <w:highlight w:val="none"/>
              </w:rPr>
            </w:r>
            <w:r/>
          </w:p>
          <w:p>
            <w:pPr>
              <w:pStyle w:val="1115"/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  <w:t xml:space="preserve"> В случае если Участником предлагаются эквиваленты требуемой Заказчику продукции, в состав своего предложения он должен в обязательном порядке предоставить подробное техническое описание предлагаемого к поставке эквивалента, в объеме не менее установленног</w:t>
            </w:r>
            <w:r>
              <w:rPr>
                <w:highlight w:val="none"/>
              </w:rPr>
              <w:t xml:space="preserve">о в настоящих ТТ требований</w:t>
            </w:r>
            <w:r>
              <w:rPr>
                <w:highlight w:val="none"/>
              </w:rPr>
            </w:r>
            <w:r/>
          </w:p>
          <w:p>
            <w:pPr>
              <w:pStyle w:val="1115"/>
            </w:pPr>
            <w:r>
              <w:rPr>
                <w:highlight w:val="none"/>
              </w:rPr>
              <w:t xml:space="preserve">- Эквивалентная продукция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</w:t>
            </w:r>
            <w:r>
              <w:rPr>
                <w:highlight w:val="none"/>
              </w:rPr>
            </w:r>
            <w:r/>
          </w:p>
          <w:p>
            <w:pPr>
              <w:pStyle w:val="1115"/>
            </w:pPr>
            <w:r>
              <w:rPr>
                <w:highlight w:val="none"/>
              </w:rPr>
              <w:t xml:space="preserve">-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  <w:r>
              <w:rPr>
                <w:highlight w:val="none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Установлен режим </w:t>
            </w:r>
            <w:r>
              <w:rPr>
                <w:b/>
                <w:bCs/>
                <w:color w:val="000000" w:themeColor="text1"/>
              </w:rPr>
              <w:t xml:space="preserve">преимущества</w:t>
            </w:r>
            <w:r>
              <w:rPr>
                <w:color w:val="000000" w:themeColor="text1"/>
              </w:rPr>
              <w:t xml:space="preserve"> закупки Российской продукции (когда национальный режим не предоставляется).</w:t>
            </w:r>
            <w:r>
              <w:rPr>
                <w:color w:val="000000" w:themeColor="text1"/>
              </w:rPr>
            </w:r>
            <w:r/>
          </w:p>
          <w:p>
            <w:pPr>
              <w:pStyle w:val="1115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начала подачи заявок:</w:t>
            </w:r>
            <w:r/>
          </w:p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«03»</w:t>
            </w:r>
            <w:r>
              <w:rPr>
                <w:b/>
                <w:bCs/>
              </w:rPr>
              <w:t xml:space="preserve"> декабря</w:t>
            </w:r>
            <w:r>
              <w:rPr>
                <w:b/>
                <w:bCs/>
              </w:rPr>
              <w:t xml:space="preserve"> 2025 г.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15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«16»</w:t>
            </w:r>
            <w:r>
              <w:rPr>
                <w:b/>
                <w:bCs/>
              </w:rPr>
              <w:t xml:space="preserve"> декабря</w:t>
            </w:r>
            <w:r>
              <w:rPr>
                <w:b/>
                <w:bCs/>
              </w:rPr>
              <w:t xml:space="preserve"> 2025 г. в 16 ч. 00 мин.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15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«16» декабря 2025 г. в 16 ч. 00 мин.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15"/>
            </w:pPr>
            <w:r>
              <w:t xml:space="preserve">(по местному времени Организатора).</w:t>
            </w:r>
            <w:r/>
          </w:p>
          <w:p>
            <w:pPr>
              <w:pStyle w:val="1115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«24» декабря 2025 г.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rPr>
                <w:b/>
                <w:bCs/>
              </w:rPr>
              <w:t xml:space="preserve">«26» декабря 2025 г. в 17 ч. 00 мин.</w:t>
            </w:r>
            <w:r>
              <w:t xml:space="preserve"> (если иное время не установлено Оператором ЭП в автоматическом режиме)</w:t>
            </w:r>
            <w:r/>
          </w:p>
          <w:p>
            <w:pPr>
              <w:pStyle w:val="1115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rPr>
                <w:b/>
                <w:bCs/>
              </w:rPr>
              <w:t xml:space="preserve">«19» января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«21» января 2026 г.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Не предоставляется</w:t>
            </w:r>
            <w:r>
              <w:rPr>
                <w:b/>
                <w:bCs/>
              </w:rPr>
              <w:t xml:space="preserve">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Не предусмотрено.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>
          <w:trHeight w:val="1039"/>
        </w:trPr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rPr>
                <w:b/>
                <w:bCs/>
              </w:rPr>
              <w:t xml:space="preserve">Один победитель. 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uppressLineNumbers w:val="0"/>
            </w:pP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/>
                <w:bCs/>
              </w:rPr>
              <w:t xml:space="preserve">Канцелярия АО «ДГК»</w:t>
            </w:r>
            <w:r/>
          </w:p>
          <w:p>
            <w:pPr>
              <w:contextualSpacing w:val="0"/>
              <w:jc w:val="left"/>
              <w:spacing w:before="0" w:after="0" w:line="240" w:lineRule="auto"/>
              <w:suppressLineNumbers w:val="0"/>
            </w:pPr>
            <w:r>
              <w:t xml:space="preserve">Почтовый адрес: </w:t>
            </w:r>
            <w:r/>
          </w:p>
          <w:p>
            <w:pPr>
              <w:contextualSpacing w:val="0"/>
              <w:jc w:val="left"/>
              <w:spacing w:before="0" w:after="0" w:line="240" w:lineRule="auto"/>
              <w:suppressLineNumbers w:val="0"/>
            </w:pPr>
            <w:r>
              <w:t xml:space="preserve">680000 г. Хабаровск ул. Фрунзе, 49</w:t>
            </w:r>
            <w:r>
              <w:t xml:space="preserve">, </w:t>
            </w:r>
            <w:r/>
          </w:p>
          <w:p>
            <w:pPr>
              <w:contextualSpacing w:val="0"/>
              <w:jc w:val="left"/>
              <w:spacing w:before="0" w:after="0" w:line="240" w:lineRule="auto"/>
              <w:suppressLineNumbers w:val="0"/>
            </w:pPr>
            <w:r>
              <w:t xml:space="preserve">тел. (4212) 26-42-43,  (4212) 26-43-63, </w:t>
            </w:r>
            <w:r/>
          </w:p>
          <w:p>
            <w:pPr>
              <w:contextualSpacing w:val="0"/>
              <w:jc w:val="left"/>
              <w:spacing w:before="0" w:after="0" w:line="240" w:lineRule="auto"/>
              <w:rPr>
                <w:b w:val="0"/>
                <w:bCs w:val="0"/>
                <w:sz w:val="26"/>
                <w:szCs w:val="26"/>
              </w:rPr>
              <w:suppressLineNumbers w:val="0"/>
            </w:pPr>
            <w:r>
              <w:rPr>
                <w:b w:val="0"/>
                <w:sz w:val="26"/>
                <w:szCs w:val="26"/>
              </w:rPr>
              <w:t xml:space="preserve">контактное лицо указать: 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contextualSpacing w:val="0"/>
              <w:jc w:val="left"/>
              <w:spacing w:before="0" w:after="0" w:line="240" w:lineRule="auto"/>
              <w:suppressLineNumbers w:val="0"/>
            </w:pPr>
            <w:r>
              <w:rPr>
                <w:b w:val="0"/>
                <w:sz w:val="26"/>
                <w:szCs w:val="26"/>
              </w:rPr>
              <w:t xml:space="preserve">«</w:t>
            </w:r>
            <w:r>
              <w:rPr>
                <w:b/>
                <w:bCs/>
                <w:sz w:val="26"/>
                <w:szCs w:val="26"/>
              </w:rPr>
              <w:t xml:space="preserve">для Плевако</w:t>
            </w:r>
            <w:r>
              <w:rPr>
                <w:b/>
                <w:bCs/>
                <w:sz w:val="26"/>
                <w:szCs w:val="26"/>
              </w:rPr>
              <w:t xml:space="preserve"> Оксаны Витальевны</w:t>
            </w:r>
            <w:r>
              <w:rPr>
                <w:sz w:val="26"/>
                <w:szCs w:val="26"/>
              </w:rPr>
              <w:t xml:space="preserve">»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Отсутствуют.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115"/>
            </w:pPr>
            <w:r>
              <w:t xml:space="preserve">Внимание</w:t>
            </w:r>
            <w:r>
              <w:t xml:space="preserve">! Корректировка пунктов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оговора, не указанных в настоящем разделе, не</w:t>
            </w:r>
            <w:r>
              <w:t xml:space="preserve"> </w:t>
            </w:r>
            <w:r>
              <w:t xml:space="preserve">допускается</w:t>
            </w:r>
            <w:r>
              <w:t xml:space="preserve">. Договор заключается в редакции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Приложения № 2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  <w:highlight w:val="none"/>
              </w:rPr>
            </w:pPr>
            <w:r>
              <w:rPr>
                <w:b/>
                <w:bCs/>
              </w:rPr>
              <w:t xml:space="preserve">Требуется</w:t>
            </w:r>
            <w:r>
              <w:rPr>
                <w:b/>
                <w:bCs/>
              </w:rPr>
              <w:t xml:space="preserve">.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  <w:t xml:space="preserve">а) Надлежащее исполнение обязательств по договору: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  <w:t xml:space="preserve">- </w:t>
            </w:r>
            <w:r>
              <w:rPr>
                <w:b/>
                <w:bCs/>
                <w:highlight w:val="none"/>
              </w:rPr>
              <w:t xml:space="preserve">размер обеспечения</w:t>
            </w:r>
            <w:r>
              <w:rPr>
                <w:b w:val="0"/>
                <w:bCs w:val="0"/>
                <w:highlight w:val="none"/>
              </w:rPr>
              <w:t xml:space="preserve"> 5 % (НДС не облагается) от суммы Договора, в соответствии с официально размещенным итоговым протоколом по результатам закупки, с учетом результатов преддоговорных переговоров (в случае т</w:t>
            </w:r>
            <w:r>
              <w:rPr>
                <w:b w:val="0"/>
                <w:bCs w:val="0"/>
                <w:highlight w:val="none"/>
              </w:rPr>
              <w:t xml:space="preserve">аковых); 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  <w:t xml:space="preserve">- </w:t>
            </w:r>
            <w:r>
              <w:rPr>
                <w:b/>
                <w:bCs/>
                <w:highlight w:val="none"/>
              </w:rPr>
              <w:t xml:space="preserve">форма обеспечения</w:t>
            </w:r>
            <w:r>
              <w:rPr>
                <w:b w:val="0"/>
                <w:bCs w:val="0"/>
                <w:highlight w:val="none"/>
              </w:rPr>
              <w:t xml:space="preserve">: внесение денежных средств на счет или предоставление независимой гарантии;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  <w:t xml:space="preserve">- </w:t>
            </w:r>
            <w:r>
              <w:rPr>
                <w:b/>
                <w:bCs/>
                <w:highlight w:val="none"/>
              </w:rPr>
              <w:t xml:space="preserve">валюта обеспечения</w:t>
            </w:r>
            <w:r>
              <w:rPr>
                <w:b w:val="0"/>
                <w:bCs w:val="0"/>
                <w:highlight w:val="none"/>
              </w:rPr>
              <w:t xml:space="preserve">: российский рубль. 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  <w:highlight w:val="none"/>
              </w:rPr>
            </w:pPr>
            <w:r>
              <w:rPr>
                <w:b w:val="0"/>
                <w:bCs w:val="0"/>
                <w:highlight w:val="none"/>
              </w:rPr>
              <w:t xml:space="preserve">Срок внесения обеспечения исполнения обязательств по договору, в течение 10 (десяти) календарных дней после официальной пуб</w:t>
            </w:r>
            <w:r>
              <w:rPr>
                <w:b w:val="0"/>
                <w:bCs w:val="0"/>
                <w:highlight w:val="none"/>
              </w:rPr>
              <w:t xml:space="preserve">ликации протокола по выбору победителя с учетом результатов преддоговорных переговоров (в случае таковых) в Единой информационной системе в сфере закупок (www.zakupki.gov.ru).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  <w:p>
            <w:pPr>
              <w:pStyle w:val="1115"/>
              <w:rPr>
                <w:b w:val="0"/>
                <w:bCs w:val="0"/>
              </w:rPr>
            </w:pPr>
            <w:r>
              <w:rPr>
                <w:b w:val="0"/>
                <w:bCs w:val="0"/>
                <w:highlight w:val="none"/>
              </w:rPr>
              <w:t xml:space="preserve">Иные требования к обеспечению исполнения Договора: приведены в Проекте договора (Приложение №2 к Документации о закупке). 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</w:tbl>
    <w:p>
      <w:pPr>
        <w:pStyle w:val="1109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10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11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1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1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Приложении № 2</w:t>
        </w:r>
      </w:hyperlink>
      <w:r>
        <w:t xml:space="preserve">.</w:t>
      </w:r>
      <w:r/>
    </w:p>
    <w:p>
      <w:pPr>
        <w:pStyle w:val="1111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9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5</w:t>
        </w:r>
      </w:hyperlink>
      <w:r>
        <w:t xml:space="preserve">.</w:t>
      </w:r>
      <w:r/>
    </w:p>
    <w:p>
      <w:pPr>
        <w:pStyle w:val="1110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11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1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1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5.5.25.2.8</w:t>
      </w:r>
      <w:r>
        <w:fldChar w:fldCharType="end"/>
      </w:r>
      <w:bookmarkEnd w:id="40"/>
      <w:r>
        <w:t xml:space="preserve">.</w:t>
      </w:r>
      <w:r/>
    </w:p>
    <w:p>
      <w:pPr>
        <w:pStyle w:val="1111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1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1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1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1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0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11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1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1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2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2"/>
      </w:pPr>
      <w:r>
        <w:t xml:space="preserve">признать заявление Участника необоснованным.</w:t>
      </w:r>
      <w:r/>
    </w:p>
    <w:p>
      <w:pPr>
        <w:pStyle w:val="1111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1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2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2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5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0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11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1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1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1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1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0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11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1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1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9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10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11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1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1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Приложении № 3</w:t>
        </w:r>
      </w:hyperlink>
      <w:r>
        <w:t xml:space="preserve">:</w:t>
      </w:r>
      <w:r/>
    </w:p>
    <w:p>
      <w:pPr>
        <w:pStyle w:val="1112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2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2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0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11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1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5.(5.2(5.2.5(г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2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2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2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2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2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2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1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1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1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1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2"/>
      </w:pPr>
      <w:r>
        <w:t xml:space="preserve">принимать участие в этой же закупке самостоятельно;</w:t>
      </w:r>
      <w:r/>
    </w:p>
    <w:p>
      <w:pPr>
        <w:pStyle w:val="1112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5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1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№ 3</w:t>
        </w:r>
      </w:hyperlink>
      <w:r>
        <w:rPr>
          <w:rStyle w:val="1139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1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1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0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11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1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2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2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2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5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1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1"/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10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11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6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9129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5"/>
      </w:pPr>
      <w:r/>
      <w:bookmarkStart w:id="74" w:name="_Ref125362061"/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0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11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1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1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1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0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11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1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1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6</w:t>
        </w:r>
        <w:r>
          <w:rPr>
            <w:rStyle w:val="1139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.</w:t>
      </w:r>
      <w:r/>
    </w:p>
    <w:p>
      <w:pPr>
        <w:pStyle w:val="1111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1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1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1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1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1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1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5.5.25.2.1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1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1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1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1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1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1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1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1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1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4.3.15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4.3.18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1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2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2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1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2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2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1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2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2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2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2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2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1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0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11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1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1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1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1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1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роекта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(Приложения № 2)</w:t>
        </w:r>
      </w:hyperlink>
      <w:r>
        <w:rPr>
          <w:rStyle w:val="1139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1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0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11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1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2"/>
      </w:pPr>
      <w:r>
        <w:t xml:space="preserve">рассмотрения первых частей заявок;</w:t>
      </w:r>
      <w:r/>
    </w:p>
    <w:p>
      <w:pPr>
        <w:pStyle w:val="1112"/>
      </w:pPr>
      <w:r>
        <w:t xml:space="preserve">проведения аукциона;</w:t>
      </w:r>
      <w:r/>
    </w:p>
    <w:p>
      <w:pPr>
        <w:pStyle w:val="1112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2"/>
      </w:pPr>
      <w:r>
        <w:t xml:space="preserve">подведения итогов закупки;</w:t>
      </w:r>
      <w:r/>
    </w:p>
    <w:p>
      <w:pPr>
        <w:pStyle w:val="1115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1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1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2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2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1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0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11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1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1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1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1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1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0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11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1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4.4.6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11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1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0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11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</w:t>
        </w:r>
        <w:r>
          <w:rPr>
            <w:rStyle w:val="1139"/>
          </w:rPr>
          <w:t xml:space="preserve">тборочным критериям</w:t>
        </w:r>
        <w:r>
          <w:rPr>
            <w:rStyle w:val="1139"/>
          </w:rPr>
          <w:t xml:space="preserve"> рассмотрения заявок (Приложение № </w:t>
        </w:r>
        <w:r>
          <w:rPr>
            <w:rStyle w:val="1139"/>
          </w:rPr>
          <w:t xml:space="preserve">7</w:t>
        </w:r>
        <w:r>
          <w:rPr>
            <w:rStyle w:val="1139"/>
          </w:rPr>
          <w:t xml:space="preserve">)</w:t>
        </w:r>
      </w:hyperlink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1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2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3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2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1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3"/>
        </w:rPr>
        <w:footnoteReference w:id="5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2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11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1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1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1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1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1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1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1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1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1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1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11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1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0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11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1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2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3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2"/>
      </w:pPr>
      <w:r>
        <w:t xml:space="preserve">несоответствие Участников требованиям Документации о закупке;</w:t>
      </w:r>
      <w:r/>
    </w:p>
    <w:p>
      <w:pPr>
        <w:pStyle w:val="1112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2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3"/>
        </w:rPr>
        <w:footnoteReference w:id="6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2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11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0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11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1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2"/>
      </w:pPr>
      <w:r>
        <w:t xml:space="preserve">в результате суммирования единичных расценок;</w:t>
      </w:r>
      <w:r/>
    </w:p>
    <w:p>
      <w:pPr>
        <w:pStyle w:val="1112"/>
      </w:pPr>
      <w:r>
        <w:t xml:space="preserve">в итогах умножения единичных расценок на объем продукции;</w:t>
      </w:r>
      <w:r/>
    </w:p>
    <w:p>
      <w:pPr>
        <w:pStyle w:val="1112"/>
      </w:pPr>
      <w:r>
        <w:t xml:space="preserve">в вычислении суммы НДС и итоговой стоимости заявки с учетом НДС;</w:t>
      </w:r>
      <w:r/>
    </w:p>
    <w:p>
      <w:pPr>
        <w:pStyle w:val="1112"/>
      </w:pPr>
      <w:r>
        <w:t xml:space="preserve">иных внутренних противоречий в составе заявки,</w:t>
      </w:r>
      <w:r/>
    </w:p>
    <w:p>
      <w:pPr>
        <w:pStyle w:val="1115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1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2"/>
      </w:pPr>
      <w:r>
        <w:t xml:space="preserve">недостоверных сведений</w:t>
      </w:r>
      <w:r>
        <w:rPr>
          <w:rStyle w:val="1123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2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1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0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11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2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3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3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3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2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2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3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1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4.15.1б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1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1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4.4.154.15.1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1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4.124.12.4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11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9"/>
          </w:rPr>
          <w:t xml:space="preserve">Порядком и критериями оценки и сопоставления заявок (Приложение № </w:t>
        </w:r>
        <w:r>
          <w:rPr>
            <w:rStyle w:val="1139"/>
          </w:rPr>
          <w:t xml:space="preserve">8</w:t>
        </w:r>
        <w:r>
          <w:rPr>
            <w:rStyle w:val="1139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2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2"/>
      </w:pPr>
      <w:r>
        <w:t xml:space="preserve">в едином базисе без учета НДС.</w:t>
      </w:r>
      <w:r/>
    </w:p>
    <w:p>
      <w:pPr>
        <w:pStyle w:val="1111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3"/>
        </w:rPr>
        <w:footnoteReference w:id="9"/>
      </w:r>
      <w:r>
        <w:t xml:space="preserve">.</w:t>
      </w:r>
      <w:r/>
    </w:p>
    <w:p>
      <w:pPr>
        <w:pStyle w:val="1111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0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11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3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1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0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11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1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1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1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3"/>
        </w:rPr>
        <w:footnoteReference w:id="11"/>
      </w:r>
      <w:r>
        <w:t xml:space="preserve">:</w:t>
      </w:r>
      <w:bookmarkEnd w:id="169"/>
      <w:r/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2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2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2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5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1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1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1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0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11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2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2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2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2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2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1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1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2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2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0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11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1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1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0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1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1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1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3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1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1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1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1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2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4.(4.21(4.21.8(л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4.21.14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2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2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2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1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1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1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4.22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1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1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1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2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5.5.2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</w:t>
        </w:r>
      </w:hyperlink>
      <w:r>
        <w:t xml:space="preserve">).</w:t>
      </w:r>
      <w:r/>
    </w:p>
    <w:p>
      <w:pPr>
        <w:pStyle w:val="1111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2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2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2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2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2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1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0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1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1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1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1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2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2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1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9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10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11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0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11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1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4.4.17</w:t>
      </w:r>
      <w:r>
        <w:fldChar w:fldCharType="end"/>
      </w:r>
      <w:r>
        <w:t xml:space="preserve">.</w:t>
      </w:r>
      <w:r/>
    </w:p>
    <w:p>
      <w:pPr>
        <w:pStyle w:val="1111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1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5</w:t>
        </w:r>
      </w:hyperlink>
      <w:r>
        <w:t xml:space="preserve">.</w:t>
      </w:r>
      <w:r/>
    </w:p>
    <w:p>
      <w:pPr>
        <w:pStyle w:val="1111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5.5.25.2.1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3"/>
        </w:rPr>
        <w:footnoteReference w:id="13"/>
      </w:r>
      <w:r>
        <w:t xml:space="preserve">:</w:t>
      </w:r>
      <w:bookmarkEnd w:id="209"/>
      <w:r/>
      <w:r/>
    </w:p>
    <w:p>
      <w:pPr>
        <w:pStyle w:val="1112"/>
        <w:keepNext/>
      </w:pPr>
      <w:r>
        <w:t xml:space="preserve">для юридического лица:</w:t>
      </w:r>
      <w:r/>
    </w:p>
    <w:p>
      <w:pPr>
        <w:pStyle w:val="1113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3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3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2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2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2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3.3.23.2.3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1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1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1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2"/>
      </w:pPr>
      <w:r>
        <w:t xml:space="preserve">итоговый протокол по результатам закупки;</w:t>
      </w:r>
      <w:r/>
    </w:p>
    <w:p>
      <w:pPr>
        <w:pStyle w:val="1112"/>
      </w:pPr>
      <w:r>
        <w:t xml:space="preserve">Извещение и Документация о закупке со всеми изменениями;</w:t>
      </w:r>
      <w:r/>
    </w:p>
    <w:p>
      <w:pPr>
        <w:pStyle w:val="1112"/>
      </w:pPr>
      <w:r>
        <w:t xml:space="preserve">заявка Победителя со всеми дополнениями и разъяснениями.</w:t>
      </w:r>
      <w:r/>
    </w:p>
    <w:p>
      <w:pPr>
        <w:pStyle w:val="1111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1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1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1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1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0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11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2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5.25.2.1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5.25.2.8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2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;</w:t>
      </w:r>
      <w:r/>
    </w:p>
    <w:p>
      <w:pPr>
        <w:pStyle w:val="1112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Приложения 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 </w:t>
        </w:r>
        <w:r>
          <w:rPr>
            <w:rStyle w:val="1139"/>
          </w:rPr>
          <w:t xml:space="preserve">– </w:t>
        </w:r>
        <w:r>
          <w:rPr>
            <w:rStyle w:val="1139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2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2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5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9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10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11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9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10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11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1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1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5.5.25.2.11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1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5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81075" cy="628650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7792549" name=""/>
                        <pic:cNvPicPr/>
                        <pic:nvPr/>
                      </pic:nvPicPr>
                      <pic:blipFill>
                        <a:blip r:embed="rId19">
                          <a:extLst>
                            <a:ext uri="{96DAC541-7B7A-43D3-8B79-37D633B846F1}">
                              <asvg:svgBlip xmlns:asvg="http://schemas.microsoft.com/office/drawing/2016/SVG/main" r:embed="rId20"/>
                            </a:ext>
                          </a:extLst>
                        </a:blip>
                        <a:stretch/>
                      </pic:blipFill>
                      <pic:spPr bwMode="auto">
                        <a:xfrm rot="0" flipH="0" flipV="0">
                          <a:off x="0" y="0"/>
                          <a:ext cx="981073" cy="628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7.25pt;height:49.50pt;mso-wrap-distance-left:0.00pt;mso-wrap-distance-top:0.00pt;mso-wrap-distance-right:0.00pt;mso-wrap-distance-bottom:0.00pt;rotation:0;" stroked="f">
                <v:path textboxrect="0,0,0,0"/>
                <v:imagedata r:id="rId19" o:title=""/>
              </v:shape>
            </w:pict>
          </mc:Fallback>
        </mc:AlternateContent>
      </w:r>
      <w:bookmarkStart w:id="243" w:name="_MON_1736255517"/>
      <w:r/>
      <w:bookmarkEnd w:id="243"/>
      <w:r/>
      <w:r/>
    </w:p>
    <w:p>
      <w:pPr>
        <w:pStyle w:val="1115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 rot="0"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rotation:0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10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11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0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1</w:t>
              </w:r>
              <w:r>
                <w:rPr>
                  <w:rStyle w:val="1139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3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3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0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0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3.3.23.2.5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0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3.3.33.3.4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10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11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9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10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11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11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1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81075" cy="628650"/>
                <wp:effectExtent l="0" t="0" r="0" b="0"/>
                <wp:docPr id="4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5704401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 rot="0" flipH="0" flipV="0">
                          <a:off x="0" y="0"/>
                          <a:ext cx="981073" cy="628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7.25pt;height:49.50pt;mso-wrap-distance-left:0.00pt;mso-wrap-distance-top:0.00pt;mso-wrap-distance-right:0.00pt;mso-wrap-distance-bottom:0.00pt;rotation:0;" stroked="f">
                <v:path textboxrect="0,0,0,0"/>
                <v:imagedata r:id="rId22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5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6165879" name=""/>
                        <pic:cNvPicPr/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 rot="0">
                          <a:off x="0" y="0"/>
                          <a:ext cx="1000125" cy="638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78.75pt;height:50.25pt;mso-wrap-distance-left:0.00pt;mso-wrap-distance-top:0.00pt;mso-wrap-distance-right:0.00pt;mso-wrap-distance-bottom:0.00pt;rotation:0;" stroked="f">
                <v:path textboxrect="0,0,0,0"/>
                <v:imagedata r:id="rId24" o:title=""/>
              </v:shape>
            </w:pict>
          </mc:Fallback>
        </mc:AlternateContent>
      </w:r>
      <w:bookmarkStart w:id="324" w:name="_MON_1741074142"/>
      <w:r/>
      <w:bookmarkEnd w:id="324"/>
      <w:r/>
      <w:r/>
    </w:p>
    <w:p>
      <w:pPr>
        <w:pStyle w:val="1110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11"/>
      </w:pPr>
      <w:r>
        <w:rPr>
          <w:highlight w:val="yellow"/>
        </w:rPr>
        <w:t xml:space="preserve">Форма Заверени</w:t>
      </w:r>
      <w:r>
        <w:rPr>
          <w:highlight w:val="yellow"/>
        </w:rPr>
        <w:t xml:space="preserve">я</w:t>
      </w:r>
      <w:r>
        <w:rPr>
          <w:highlight w:val="yellow"/>
        </w:rP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highlight w:val="yellow"/>
          <w:lang w:val="en-US"/>
        </w:rPr>
        <w:t xml:space="preserve"> </w:t>
      </w:r>
      <w:r>
        <w:rPr>
          <w:highlight w:val="yellow"/>
        </w:rPr>
        <w:t xml:space="preserve">000 (Ста миллионов) рублей</w:t>
      </w:r>
      <w:r>
        <w:t xml:space="preserve">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1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1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1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81075" cy="628650"/>
                <wp:effectExtent l="0" t="0" r="0" b="0"/>
                <wp:docPr id="6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1389442" name=""/>
                        <pic:cNvPicPr/>
                        <pic:nvPr/>
                      </pic:nvPicPr>
                      <pic:blipFill>
                        <a:blip r:embed="rId25">
                          <a:extLst>
                            <a:ext uri="{96DAC541-7B7A-43D3-8B79-37D633B846F1}">
                              <asvg:svgBlip xmlns:asvg="http://schemas.microsoft.com/office/drawing/2016/SVG/main" r:embed="rId26"/>
                            </a:ext>
                          </a:extLst>
                        </a:blip>
                        <a:stretch/>
                      </pic:blipFill>
                      <pic:spPr bwMode="auto">
                        <a:xfrm rot="0" flipH="0" flipV="0">
                          <a:off x="0" y="0"/>
                          <a:ext cx="981073" cy="628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77.25pt;height:49.50pt;mso-wrap-distance-left:0.00pt;mso-wrap-distance-top:0.00pt;mso-wrap-distance-right:0.00pt;mso-wrap-distance-bottom:0.00pt;rotation:0;" stroked="f">
                <v:path textboxrect="0,0,0,0"/>
                <v:imagedata r:id="rId25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7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7881876" name=""/>
                        <pic:cNvPicPr/>
                        <pic:nvPr/>
                      </pic:nvPicPr>
                      <pic:blipFill>
                        <a:blip r:embed="rId27"/>
                        <a:stretch/>
                      </pic:blipFill>
                      <pic:spPr bwMode="auto">
                        <a:xfrm rot="0">
                          <a:off x="0" y="0"/>
                          <a:ext cx="1000125" cy="638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75pt;height:50.25pt;mso-wrap-distance-left:0.00pt;mso-wrap-distance-top:0.00pt;mso-wrap-distance-right:0.00pt;mso-wrap-distance-bottom:0.00pt;rotation:0;" stroked="f">
                <v:path textboxrect="0,0,0,0"/>
                <v:imagedata r:id="rId27" o:title=""/>
              </v:shape>
            </w:pict>
          </mc:Fallback>
        </mc:AlternateContent>
      </w:r>
      <w:r/>
    </w:p>
    <w:p>
      <w:pPr>
        <w:pStyle w:val="1109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10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11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и</w:t>
        </w:r>
        <w:r>
          <w:rPr>
            <w:rStyle w:val="1139"/>
          </w:rPr>
          <w:t xml:space="preserve">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6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rPr>
                <w:rStyle w:val="1139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1"/>
        <w:rPr>
          <w:rStyle w:val="1120"/>
          <w:i w:val="0"/>
          <w:iCs w:val="0"/>
          <w:shd w:val="clear" w:color="auto" w:fill="auto"/>
        </w:rPr>
      </w:pP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0"/>
          <w:i w:val="0"/>
          <w:iCs w:val="0"/>
          <w:shd w:val="clear" w:color="auto" w:fill="auto"/>
        </w:rPr>
        <w:t xml:space="preserve"> </w:t>
      </w:r>
      <w:r>
        <w:rPr>
          <w:rStyle w:val="1120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rPr>
          <w:rStyle w:val="1120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09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8" w:name="_Toc62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0"/>
          <w:i w:val="0"/>
          <w:iCs w:val="0"/>
          <w:shd w:val="clear" w:color="auto" w:fill="auto"/>
        </w:rPr>
        <w:t xml:space="preserve">первых частей </w:t>
      </w:r>
      <w:r>
        <w:rPr>
          <w:rStyle w:val="1120"/>
          <w:i w:val="0"/>
          <w:iCs w:val="0"/>
          <w:shd w:val="clear" w:color="auto" w:fill="auto"/>
        </w:rPr>
        <w:t xml:space="preserve">заявок</w:t>
      </w:r>
      <w:bookmarkEnd w:id="428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/>
      <w:bookmarkEnd w:id="429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4.21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5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5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30" w:name="_Toc64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bookmarkEnd w:id="430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5"/>
              <w:jc w:val="center"/>
              <w:rPr>
                <w:rStyle w:val="1139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9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0"/>
        <w:rPr>
          <w:rStyle w:val="1120"/>
          <w:i w:val="0"/>
          <w:iCs w:val="0"/>
          <w:shd w:val="clear" w:color="auto" w:fill="auto"/>
        </w:rPr>
      </w:pPr>
      <w:r/>
      <w:bookmarkStart w:id="431" w:name="_Toc65"/>
      <w:r>
        <w:rPr>
          <w:rStyle w:val="1120"/>
          <w:i w:val="0"/>
          <w:iCs w:val="0"/>
          <w:shd w:val="clear" w:color="auto" w:fill="auto"/>
        </w:rPr>
        <w:t xml:space="preserve">Дополнительные</w:t>
      </w:r>
      <w:r>
        <w:rPr>
          <w:rStyle w:val="1120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0"/>
          <w:i w:val="0"/>
          <w:iCs w:val="0"/>
          <w:shd w:val="clear" w:color="auto" w:fill="auto"/>
        </w:rPr>
        <w:t xml:space="preserve">ок</w:t>
      </w:r>
      <w:r>
        <w:rPr>
          <w:rStyle w:val="1120"/>
          <w:i w:val="0"/>
          <w:iCs w:val="0"/>
          <w:shd w:val="clear" w:color="auto" w:fill="auto"/>
        </w:rPr>
        <w:t xml:space="preserve"> на соответстви</w:t>
      </w: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 условиям Документации о закупке</w:t>
      </w:r>
      <w:bookmarkEnd w:id="431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5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5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5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10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11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3"/>
        </w:rPr>
        <w:footnoteReference w:id="16"/>
      </w:r>
      <w:r>
        <w:t xml:space="preserve">.</w:t>
      </w:r>
      <w:r/>
    </w:p>
    <w:p>
      <w:pPr>
        <w:pStyle w:val="1111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4.4.17</w:t>
      </w:r>
      <w:r>
        <w:fldChar w:fldCharType="end"/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>
        <w:t xml:space="preserve"> </w:t>
      </w:r>
      <w:bookmarkEnd w:id="434"/>
      <w:r/>
      <w:r/>
    </w:p>
    <w:p>
      <w:pPr>
        <w:pStyle w:val="1110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11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9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10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11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  <w:rPr>
          <w:highlight w:val="yellow"/>
        </w:rPr>
      </w:pPr>
      <w:r>
        <w:rPr>
          <w:highlight w:val="yellow"/>
        </w:rPr>
        <w:t xml:space="preserve">ВНИМАНИЕ! Форма Заявки на аккредитацию должна быть представлена  строго в формате Excel.</w:t>
      </w:r>
      <w:r>
        <w:rPr>
          <w:highlight w:val="yellow"/>
        </w:rPr>
      </w:r>
      <w:r>
        <w:rPr>
          <w:highlight w:val="yellow"/>
        </w:rPr>
      </w:r>
    </w:p>
    <w:p>
      <w:pPr>
        <w:pStyle w:val="1115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71550" cy="638175"/>
                <wp:effectExtent l="0" t="0" r="0" b="0"/>
                <wp:docPr id="8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 rot="0">
                          <a:off x="0" y="0"/>
                          <a:ext cx="9715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76.50pt;height:50.25pt;mso-wrap-distance-left:0.00pt;mso-wrap-distance-top:0.00pt;mso-wrap-distance-right:0.00pt;mso-wrap-distance-bottom:0.00pt;rotation:0;" stroked="f">
                <v:path textboxrect="0,0,0,0"/>
                <v:imagedata r:id="rId28" o:title="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4"/>
      </w:pPr>
      <w:r>
        <w:rPr>
          <w:rStyle w:val="1123"/>
        </w:rPr>
        <w:footnoteRef/>
      </w:r>
      <w:r>
        <w:tab/>
        <w:t xml:space="preserve">С учетом пункта 4.18.5.</w:t>
      </w:r>
      <w:r/>
    </w:p>
  </w:footnote>
  <w:footnote w:id="8">
    <w:p>
      <w:pPr>
        <w:pStyle w:val="1121"/>
        <w:ind w:left="567" w:hanging="567"/>
        <w:jc w:val="both"/>
        <w:rPr>
          <w:sz w:val="22"/>
        </w:rPr>
      </w:pPr>
      <w:r>
        <w:rPr>
          <w:rStyle w:val="1123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4"/>
      </w:pPr>
      <w:r>
        <w:rPr>
          <w:rStyle w:val="1123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4"/>
      </w:pPr>
      <w:r>
        <w:rPr>
          <w:rStyle w:val="1123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2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3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3">
    <w:name w:val="Heading 1 Char"/>
    <w:basedOn w:val="1106"/>
    <w:link w:val="1103"/>
    <w:uiPriority w:val="9"/>
    <w:rPr>
      <w:rFonts w:ascii="Arial" w:hAnsi="Arial" w:eastAsia="Arial" w:cs="Arial"/>
      <w:sz w:val="40"/>
      <w:szCs w:val="40"/>
    </w:rPr>
  </w:style>
  <w:style w:type="character" w:styleId="944">
    <w:name w:val="Heading 2 Char"/>
    <w:basedOn w:val="1106"/>
    <w:link w:val="1104"/>
    <w:uiPriority w:val="9"/>
    <w:rPr>
      <w:rFonts w:ascii="Arial" w:hAnsi="Arial" w:eastAsia="Arial" w:cs="Arial"/>
      <w:sz w:val="34"/>
    </w:rPr>
  </w:style>
  <w:style w:type="character" w:styleId="945">
    <w:name w:val="Heading 3 Char"/>
    <w:basedOn w:val="1106"/>
    <w:link w:val="1105"/>
    <w:uiPriority w:val="9"/>
    <w:rPr>
      <w:rFonts w:ascii="Arial" w:hAnsi="Arial" w:eastAsia="Arial" w:cs="Arial"/>
      <w:sz w:val="30"/>
      <w:szCs w:val="30"/>
    </w:rPr>
  </w:style>
  <w:style w:type="paragraph" w:styleId="946">
    <w:name w:val="Heading 4"/>
    <w:basedOn w:val="1102"/>
    <w:next w:val="1102"/>
    <w:link w:val="9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7">
    <w:name w:val="Heading 4 Char"/>
    <w:basedOn w:val="1106"/>
    <w:link w:val="946"/>
    <w:uiPriority w:val="9"/>
    <w:rPr>
      <w:rFonts w:ascii="Arial" w:hAnsi="Arial" w:eastAsia="Arial" w:cs="Arial"/>
      <w:b/>
      <w:bCs/>
      <w:sz w:val="26"/>
      <w:szCs w:val="26"/>
    </w:rPr>
  </w:style>
  <w:style w:type="paragraph" w:styleId="948">
    <w:name w:val="Heading 5"/>
    <w:basedOn w:val="1102"/>
    <w:next w:val="1102"/>
    <w:link w:val="9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9">
    <w:name w:val="Heading 5 Char"/>
    <w:basedOn w:val="1106"/>
    <w:link w:val="948"/>
    <w:uiPriority w:val="9"/>
    <w:rPr>
      <w:rFonts w:ascii="Arial" w:hAnsi="Arial" w:eastAsia="Arial" w:cs="Arial"/>
      <w:b/>
      <w:bCs/>
      <w:sz w:val="24"/>
      <w:szCs w:val="24"/>
    </w:rPr>
  </w:style>
  <w:style w:type="paragraph" w:styleId="950">
    <w:name w:val="Heading 6"/>
    <w:basedOn w:val="1102"/>
    <w:next w:val="1102"/>
    <w:link w:val="9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1">
    <w:name w:val="Heading 6 Char"/>
    <w:basedOn w:val="1106"/>
    <w:link w:val="950"/>
    <w:uiPriority w:val="9"/>
    <w:rPr>
      <w:rFonts w:ascii="Arial" w:hAnsi="Arial" w:eastAsia="Arial" w:cs="Arial"/>
      <w:b/>
      <w:bCs/>
      <w:sz w:val="22"/>
      <w:szCs w:val="22"/>
    </w:rPr>
  </w:style>
  <w:style w:type="paragraph" w:styleId="952">
    <w:name w:val="Heading 7"/>
    <w:basedOn w:val="1102"/>
    <w:next w:val="1102"/>
    <w:link w:val="9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3">
    <w:name w:val="Heading 7 Char"/>
    <w:basedOn w:val="1106"/>
    <w:link w:val="9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4">
    <w:name w:val="Heading 8"/>
    <w:basedOn w:val="1102"/>
    <w:next w:val="1102"/>
    <w:link w:val="9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5">
    <w:name w:val="Heading 8 Char"/>
    <w:basedOn w:val="1106"/>
    <w:link w:val="954"/>
    <w:uiPriority w:val="9"/>
    <w:rPr>
      <w:rFonts w:ascii="Arial" w:hAnsi="Arial" w:eastAsia="Arial" w:cs="Arial"/>
      <w:i/>
      <w:iCs/>
      <w:sz w:val="22"/>
      <w:szCs w:val="22"/>
    </w:rPr>
  </w:style>
  <w:style w:type="paragraph" w:styleId="956">
    <w:name w:val="Heading 9"/>
    <w:basedOn w:val="1102"/>
    <w:next w:val="1102"/>
    <w:link w:val="9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7">
    <w:name w:val="Heading 9 Char"/>
    <w:basedOn w:val="1106"/>
    <w:link w:val="956"/>
    <w:uiPriority w:val="9"/>
    <w:rPr>
      <w:rFonts w:ascii="Arial" w:hAnsi="Arial" w:eastAsia="Arial" w:cs="Arial"/>
      <w:i/>
      <w:iCs/>
      <w:sz w:val="21"/>
      <w:szCs w:val="21"/>
    </w:rPr>
  </w:style>
  <w:style w:type="paragraph" w:styleId="958">
    <w:name w:val="No Spacing"/>
    <w:uiPriority w:val="1"/>
    <w:qFormat/>
    <w:pPr>
      <w:spacing w:before="0" w:after="0" w:line="240" w:lineRule="auto"/>
    </w:pPr>
  </w:style>
  <w:style w:type="paragraph" w:styleId="959">
    <w:name w:val="Title"/>
    <w:basedOn w:val="1102"/>
    <w:next w:val="1102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0">
    <w:name w:val="Title Char"/>
    <w:basedOn w:val="1106"/>
    <w:link w:val="959"/>
    <w:uiPriority w:val="10"/>
    <w:rPr>
      <w:sz w:val="48"/>
      <w:szCs w:val="48"/>
    </w:rPr>
  </w:style>
  <w:style w:type="paragraph" w:styleId="961">
    <w:name w:val="Subtitle"/>
    <w:basedOn w:val="1102"/>
    <w:next w:val="1102"/>
    <w:link w:val="962"/>
    <w:uiPriority w:val="11"/>
    <w:qFormat/>
    <w:pPr>
      <w:spacing w:before="200" w:after="200"/>
    </w:pPr>
    <w:rPr>
      <w:sz w:val="24"/>
      <w:szCs w:val="24"/>
    </w:rPr>
  </w:style>
  <w:style w:type="character" w:styleId="962">
    <w:name w:val="Subtitle Char"/>
    <w:basedOn w:val="1106"/>
    <w:link w:val="961"/>
    <w:uiPriority w:val="11"/>
    <w:rPr>
      <w:sz w:val="24"/>
      <w:szCs w:val="24"/>
    </w:rPr>
  </w:style>
  <w:style w:type="paragraph" w:styleId="963">
    <w:name w:val="Quote"/>
    <w:basedOn w:val="1102"/>
    <w:next w:val="1102"/>
    <w:link w:val="964"/>
    <w:uiPriority w:val="29"/>
    <w:qFormat/>
    <w:pPr>
      <w:ind w:left="720" w:right="720"/>
    </w:pPr>
    <w:rPr>
      <w:i/>
    </w:rPr>
  </w:style>
  <w:style w:type="character" w:styleId="964">
    <w:name w:val="Quote Char"/>
    <w:link w:val="963"/>
    <w:uiPriority w:val="29"/>
    <w:rPr>
      <w:i/>
    </w:rPr>
  </w:style>
  <w:style w:type="paragraph" w:styleId="965">
    <w:name w:val="Intense Quote"/>
    <w:basedOn w:val="1102"/>
    <w:next w:val="1102"/>
    <w:link w:val="9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6">
    <w:name w:val="Intense Quote Char"/>
    <w:link w:val="965"/>
    <w:uiPriority w:val="30"/>
    <w:rPr>
      <w:i/>
    </w:rPr>
  </w:style>
  <w:style w:type="character" w:styleId="967">
    <w:name w:val="Header Char"/>
    <w:basedOn w:val="1106"/>
    <w:link w:val="1116"/>
    <w:uiPriority w:val="99"/>
  </w:style>
  <w:style w:type="character" w:styleId="968">
    <w:name w:val="Footer Char"/>
    <w:basedOn w:val="1106"/>
    <w:link w:val="1118"/>
    <w:uiPriority w:val="99"/>
  </w:style>
  <w:style w:type="paragraph" w:styleId="969">
    <w:name w:val="Caption"/>
    <w:basedOn w:val="1102"/>
    <w:next w:val="1102"/>
    <w:link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0">
    <w:name w:val="Caption Char"/>
    <w:basedOn w:val="969"/>
    <w:link w:val="1118"/>
    <w:uiPriority w:val="99"/>
  </w:style>
  <w:style w:type="table" w:styleId="971">
    <w:name w:val="Table Grid Light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Plain Table 1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3">
    <w:name w:val="Plain Table 2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4">
    <w:name w:val="Plain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5">
    <w:name w:val="Plain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Plain Table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7">
    <w:name w:val="Grid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Grid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Grid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Grid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9">
    <w:name w:val="Grid Table 4 - Accent 1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0">
    <w:name w:val="Grid Table 4 - Accent 2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1">
    <w:name w:val="Grid Table 4 - Accent 3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2">
    <w:name w:val="Grid Table 4 - Accent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3">
    <w:name w:val="Grid Table 4 - Accent 5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4">
    <w:name w:val="Grid Table 4 - Accent 6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5">
    <w:name w:val="Grid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6">
    <w:name w:val="Grid Table 5 Dark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8">
    <w:name w:val="Grid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9">
    <w:name w:val="Grid Table 5 Dark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0">
    <w:name w:val="Grid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1">
    <w:name w:val="Grid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2">
    <w:name w:val="Grid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3">
    <w:name w:val="Grid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4">
    <w:name w:val="Grid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5">
    <w:name w:val="Grid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6">
    <w:name w:val="Grid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7">
    <w:name w:val="Grid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8">
    <w:name w:val="Grid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9">
    <w:name w:val="Grid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List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List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4">
    <w:name w:val="List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5">
    <w:name w:val="List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6">
    <w:name w:val="List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7">
    <w:name w:val="List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8">
    <w:name w:val="List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9">
    <w:name w:val="List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0">
    <w:name w:val="List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4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4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4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8">
    <w:name w:val="List Table 5 Dark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9">
    <w:name w:val="List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0">
    <w:name w:val="List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2">
    <w:name w:val="List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3">
    <w:name w:val="List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4">
    <w:name w:val="List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5">
    <w:name w:val="List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6">
    <w:name w:val="List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7">
    <w:name w:val="List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8">
    <w:name w:val="List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9">
    <w:name w:val="List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0">
    <w:name w:val="List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1">
    <w:name w:val="List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2">
    <w:name w:val="List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3">
    <w:name w:val="List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4">
    <w:name w:val="List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5">
    <w:name w:val="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6">
    <w:name w:val="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7">
    <w:name w:val="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8">
    <w:name w:val="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9">
    <w:name w:val="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0">
    <w:name w:val="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1">
    <w:name w:val="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2">
    <w:name w:val="Bordered &amp; 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3">
    <w:name w:val="Bordered &amp; 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4">
    <w:name w:val="Bordered &amp; 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5">
    <w:name w:val="Bordered &amp; 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6">
    <w:name w:val="Bordered &amp; 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7">
    <w:name w:val="Bordered &amp; 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8">
    <w:name w:val="Bordered &amp; 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9">
    <w:name w:val="Bordered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0">
    <w:name w:val="Bordered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1">
    <w:name w:val="Bordered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2">
    <w:name w:val="Bordered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3">
    <w:name w:val="Bordered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4">
    <w:name w:val="Bordered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5">
    <w:name w:val="Bordered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6">
    <w:name w:val="Footnote Text Char"/>
    <w:link w:val="1121"/>
    <w:uiPriority w:val="99"/>
    <w:rPr>
      <w:sz w:val="18"/>
    </w:rPr>
  </w:style>
  <w:style w:type="paragraph" w:styleId="1097">
    <w:name w:val="endnote text"/>
    <w:basedOn w:val="1102"/>
    <w:link w:val="1098"/>
    <w:uiPriority w:val="99"/>
    <w:semiHidden/>
    <w:unhideWhenUsed/>
    <w:pPr>
      <w:spacing w:after="0" w:line="240" w:lineRule="auto"/>
    </w:pPr>
    <w:rPr>
      <w:sz w:val="20"/>
    </w:rPr>
  </w:style>
  <w:style w:type="character" w:styleId="1098">
    <w:name w:val="Endnote Text Char"/>
    <w:link w:val="1097"/>
    <w:uiPriority w:val="99"/>
    <w:rPr>
      <w:sz w:val="20"/>
    </w:rPr>
  </w:style>
  <w:style w:type="character" w:styleId="1099">
    <w:name w:val="endnote reference"/>
    <w:basedOn w:val="1106"/>
    <w:uiPriority w:val="99"/>
    <w:semiHidden/>
    <w:unhideWhenUsed/>
    <w:rPr>
      <w:vertAlign w:val="superscript"/>
    </w:rPr>
  </w:style>
  <w:style w:type="paragraph" w:styleId="1100">
    <w:name w:val="TOC Heading"/>
    <w:uiPriority w:val="39"/>
    <w:unhideWhenUsed/>
  </w:style>
  <w:style w:type="paragraph" w:styleId="1101">
    <w:name w:val="table of figures"/>
    <w:basedOn w:val="1102"/>
    <w:next w:val="1102"/>
    <w:uiPriority w:val="99"/>
    <w:unhideWhenUsed/>
    <w:pPr>
      <w:spacing w:after="0" w:afterAutospacing="0"/>
    </w:pPr>
  </w:style>
  <w:style w:type="paragraph" w:styleId="1102" w:default="1">
    <w:name w:val="Normal"/>
    <w:qFormat/>
  </w:style>
  <w:style w:type="paragraph" w:styleId="1103">
    <w:name w:val="Heading 1"/>
    <w:basedOn w:val="1102"/>
    <w:next w:val="1102"/>
    <w:link w:val="1154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4">
    <w:name w:val="Heading 2"/>
    <w:basedOn w:val="1102"/>
    <w:next w:val="1102"/>
    <w:link w:val="1155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5">
    <w:name w:val="Heading 3"/>
    <w:basedOn w:val="1102"/>
    <w:next w:val="1102"/>
    <w:link w:val="1156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6" w:default="1">
    <w:name w:val="Default Paragraph Font"/>
    <w:uiPriority w:val="1"/>
    <w:semiHidden/>
    <w:unhideWhenUsed/>
  </w:style>
  <w:style w:type="table" w:styleId="11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8" w:default="1">
    <w:name w:val="No List"/>
    <w:uiPriority w:val="99"/>
    <w:semiHidden/>
    <w:unhideWhenUsed/>
  </w:style>
  <w:style w:type="paragraph" w:styleId="1109" w:customStyle="1">
    <w:name w:val="[РГ] Раздел"/>
    <w:basedOn w:val="1102"/>
    <w:next w:val="111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0" w:customStyle="1">
    <w:name w:val="[РГ] Подраздел"/>
    <w:basedOn w:val="1102"/>
    <w:next w:val="111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1" w:customStyle="1">
    <w:name w:val="[РГ] Пункт"/>
    <w:basedOn w:val="1102"/>
    <w:qFormat/>
    <w:pPr>
      <w:numPr>
        <w:ilvl w:val="2"/>
        <w:numId w:val="1"/>
      </w:numPr>
      <w:jc w:val="both"/>
      <w:outlineLvl w:val="2"/>
    </w:pPr>
  </w:style>
  <w:style w:type="paragraph" w:styleId="1112" w:customStyle="1">
    <w:name w:val="[РГ] Подпункт"/>
    <w:basedOn w:val="1102"/>
    <w:qFormat/>
    <w:pPr>
      <w:numPr>
        <w:ilvl w:val="3"/>
        <w:numId w:val="1"/>
      </w:numPr>
      <w:jc w:val="both"/>
      <w:outlineLvl w:val="3"/>
    </w:pPr>
  </w:style>
  <w:style w:type="paragraph" w:styleId="1113" w:customStyle="1">
    <w:name w:val="[РГ] Перечисление"/>
    <w:basedOn w:val="1102"/>
    <w:qFormat/>
    <w:pPr>
      <w:numPr>
        <w:ilvl w:val="4"/>
        <w:numId w:val="1"/>
      </w:numPr>
      <w:jc w:val="both"/>
      <w:outlineLvl w:val="4"/>
    </w:pPr>
  </w:style>
  <w:style w:type="paragraph" w:styleId="1114" w:customStyle="1">
    <w:name w:val="[РГ] Заголовок"/>
    <w:basedOn w:val="1102"/>
    <w:next w:val="111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5" w:customStyle="1">
    <w:name w:val="[РГ] Текст"/>
    <w:basedOn w:val="1102"/>
    <w:qFormat/>
    <w:pPr>
      <w:jc w:val="both"/>
    </w:pPr>
  </w:style>
  <w:style w:type="paragraph" w:styleId="1116">
    <w:name w:val="Header"/>
    <w:basedOn w:val="1102"/>
    <w:link w:val="1117"/>
    <w:uiPriority w:val="99"/>
    <w:unhideWhenUsed/>
    <w:pPr>
      <w:jc w:val="center"/>
      <w:spacing w:before="0" w:after="120"/>
    </w:pPr>
  </w:style>
  <w:style w:type="character" w:styleId="1117" w:customStyle="1">
    <w:name w:val="Верхний колонтитул Знак"/>
    <w:basedOn w:val="1106"/>
    <w:link w:val="1116"/>
    <w:uiPriority w:val="99"/>
  </w:style>
  <w:style w:type="paragraph" w:styleId="1118">
    <w:name w:val="Footer"/>
    <w:basedOn w:val="1102"/>
    <w:link w:val="1119"/>
    <w:unhideWhenUsed/>
    <w:pPr>
      <w:jc w:val="right"/>
    </w:pPr>
  </w:style>
  <w:style w:type="character" w:styleId="1119" w:customStyle="1">
    <w:name w:val="Нижний колонтитул Знак"/>
    <w:basedOn w:val="1106"/>
    <w:link w:val="1118"/>
    <w:uiPriority w:val="99"/>
  </w:style>
  <w:style w:type="character" w:styleId="1120" w:customStyle="1">
    <w:name w:val="[РГ] Инструкция для организатора"/>
    <w:basedOn w:val="1106"/>
    <w:uiPriority w:val="1"/>
    <w:qFormat/>
    <w:rPr>
      <w:i/>
      <w:iCs/>
      <w:shd w:val="clear" w:color="auto" w:fill="ffff99"/>
      <w:lang w:val="ru-RU"/>
    </w:rPr>
  </w:style>
  <w:style w:type="paragraph" w:styleId="1121">
    <w:name w:val="footnote text"/>
    <w:basedOn w:val="1102"/>
    <w:link w:val="1122"/>
    <w:uiPriority w:val="99"/>
    <w:semiHidden/>
    <w:unhideWhenUsed/>
    <w:pPr>
      <w:spacing w:before="0"/>
    </w:pPr>
    <w:rPr>
      <w:sz w:val="20"/>
      <w:szCs w:val="20"/>
    </w:rPr>
  </w:style>
  <w:style w:type="character" w:styleId="1122" w:customStyle="1">
    <w:name w:val="Текст сноски Знак"/>
    <w:basedOn w:val="1106"/>
    <w:link w:val="1121"/>
    <w:uiPriority w:val="99"/>
    <w:semiHidden/>
    <w:rPr>
      <w:sz w:val="20"/>
      <w:szCs w:val="20"/>
    </w:rPr>
  </w:style>
  <w:style w:type="character" w:styleId="1123">
    <w:name w:val="footnote reference"/>
    <w:basedOn w:val="1106"/>
    <w:unhideWhenUsed/>
    <w:rPr>
      <w:vertAlign w:val="superscript"/>
    </w:rPr>
  </w:style>
  <w:style w:type="paragraph" w:styleId="1124" w:customStyle="1">
    <w:name w:val="[РГ] Сноска"/>
    <w:basedOn w:val="1121"/>
    <w:qFormat/>
    <w:pPr>
      <w:ind w:left="567" w:hanging="567"/>
      <w:jc w:val="both"/>
      <w:spacing w:before="80"/>
    </w:pPr>
    <w:rPr>
      <w:sz w:val="22"/>
    </w:rPr>
  </w:style>
  <w:style w:type="character" w:styleId="1125">
    <w:name w:val="Hyperlink"/>
    <w:basedOn w:val="1106"/>
    <w:uiPriority w:val="99"/>
    <w:unhideWhenUsed/>
    <w:rPr>
      <w:color w:val="0563c1" w:themeColor="hyperlink"/>
      <w:u w:val="single"/>
    </w:rPr>
  </w:style>
  <w:style w:type="character" w:styleId="1126">
    <w:name w:val="Unresolved Mention"/>
    <w:basedOn w:val="1106"/>
    <w:uiPriority w:val="99"/>
    <w:semiHidden/>
    <w:unhideWhenUsed/>
    <w:rPr>
      <w:color w:val="605e5c"/>
      <w:shd w:val="clear" w:color="auto" w:fill="e1dfdd"/>
    </w:rPr>
  </w:style>
  <w:style w:type="paragraph" w:styleId="1127">
    <w:name w:val="toc 2"/>
    <w:basedOn w:val="1102"/>
    <w:next w:val="110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8">
    <w:name w:val="toc 1"/>
    <w:basedOn w:val="1102"/>
    <w:next w:val="110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9">
    <w:name w:val="toc 3"/>
    <w:basedOn w:val="1102"/>
    <w:next w:val="110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4"/>
    <w:basedOn w:val="1102"/>
    <w:next w:val="110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5"/>
    <w:basedOn w:val="1102"/>
    <w:next w:val="110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2">
    <w:name w:val="toc 6"/>
    <w:basedOn w:val="1102"/>
    <w:next w:val="110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3">
    <w:name w:val="toc 7"/>
    <w:basedOn w:val="1102"/>
    <w:next w:val="110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4">
    <w:name w:val="toc 8"/>
    <w:basedOn w:val="1102"/>
    <w:next w:val="110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5">
    <w:name w:val="toc 9"/>
    <w:basedOn w:val="1102"/>
    <w:next w:val="110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6" w:customStyle="1">
    <w:name w:val="[РГ] Таблица"/>
    <w:basedOn w:val="110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7">
    <w:name w:val="Table Grid"/>
    <w:basedOn w:val="110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8">
    <w:name w:val="Placeholder Text"/>
    <w:basedOn w:val="1106"/>
    <w:uiPriority w:val="99"/>
    <w:semiHidden/>
    <w:rPr>
      <w:color w:val="808080"/>
    </w:rPr>
  </w:style>
  <w:style w:type="character" w:styleId="1139" w:customStyle="1">
    <w:name w:val="[РГ] Отсылка"/>
    <w:basedOn w:val="110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0">
    <w:name w:val="annotation reference"/>
    <w:basedOn w:val="1106"/>
    <w:uiPriority w:val="99"/>
    <w:unhideWhenUsed/>
    <w:rPr>
      <w:sz w:val="16"/>
      <w:szCs w:val="16"/>
    </w:rPr>
  </w:style>
  <w:style w:type="paragraph" w:styleId="1141">
    <w:name w:val="annotation text"/>
    <w:basedOn w:val="1102"/>
    <w:link w:val="1142"/>
    <w:uiPriority w:val="99"/>
    <w:unhideWhenUsed/>
    <w:rPr>
      <w:sz w:val="20"/>
      <w:szCs w:val="20"/>
    </w:rPr>
  </w:style>
  <w:style w:type="character" w:styleId="1142" w:customStyle="1">
    <w:name w:val="Текст примечания Знак"/>
    <w:basedOn w:val="1106"/>
    <w:link w:val="1141"/>
    <w:uiPriority w:val="99"/>
    <w:rPr>
      <w:sz w:val="20"/>
      <w:szCs w:val="20"/>
    </w:rPr>
  </w:style>
  <w:style w:type="paragraph" w:styleId="1143">
    <w:name w:val="annotation subject"/>
    <w:basedOn w:val="1141"/>
    <w:next w:val="1141"/>
    <w:link w:val="1144"/>
    <w:uiPriority w:val="99"/>
    <w:semiHidden/>
    <w:unhideWhenUsed/>
    <w:rPr>
      <w:b/>
      <w:bCs/>
    </w:rPr>
  </w:style>
  <w:style w:type="character" w:styleId="1144" w:customStyle="1">
    <w:name w:val="Тема примечания Знак"/>
    <w:basedOn w:val="1142"/>
    <w:link w:val="1143"/>
    <w:uiPriority w:val="99"/>
    <w:semiHidden/>
    <w:rPr>
      <w:b/>
      <w:bCs/>
      <w:sz w:val="20"/>
      <w:szCs w:val="20"/>
    </w:rPr>
  </w:style>
  <w:style w:type="paragraph" w:styleId="1145" w:customStyle="1">
    <w:name w:val="[РГ] Альтернатива / Дополнение"/>
    <w:basedOn w:val="1115"/>
    <w:next w:val="1115"/>
    <w:qFormat/>
    <w:rPr>
      <w:i/>
      <w:shd w:val="clear" w:color="auto" w:fill="ccecff"/>
    </w:rPr>
  </w:style>
  <w:style w:type="character" w:styleId="1146" w:customStyle="1">
    <w:name w:val="[РГ] Инструкция для участника"/>
    <w:basedOn w:val="1106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7">
    <w:name w:val="Revision"/>
    <w:hidden/>
    <w:uiPriority w:val="99"/>
    <w:semiHidden/>
    <w:pPr>
      <w:spacing w:before="0"/>
    </w:pPr>
  </w:style>
  <w:style w:type="character" w:styleId="1148">
    <w:name w:val="FollowedHyperlink"/>
    <w:basedOn w:val="1106"/>
    <w:uiPriority w:val="99"/>
    <w:semiHidden/>
    <w:unhideWhenUsed/>
    <w:rPr>
      <w:color w:val="954f72" w:themeColor="followedHyperlink"/>
      <w:u w:val="single"/>
    </w:rPr>
  </w:style>
  <w:style w:type="paragraph" w:styleId="1149">
    <w:name w:val="List Paragraph"/>
    <w:basedOn w:val="1102"/>
    <w:uiPriority w:val="34"/>
    <w:qFormat/>
    <w:pPr>
      <w:contextualSpacing/>
      <w:ind w:left="720"/>
    </w:pPr>
  </w:style>
  <w:style w:type="paragraph" w:styleId="1150" w:customStyle="1">
    <w:name w:val="Пункт"/>
    <w:basedOn w:val="1102"/>
    <w:link w:val="1151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1" w:customStyle="1">
    <w:name w:val="Пункт Знак2"/>
    <w:link w:val="1150"/>
    <w:rPr>
      <w:rFonts w:eastAsia="Times New Roman" w:cs="Times New Roman"/>
      <w:szCs w:val="26"/>
      <w:lang w:eastAsia="ru-RU"/>
    </w:rPr>
  </w:style>
  <w:style w:type="paragraph" w:styleId="1152" w:customStyle="1">
    <w:name w:val="Подпункт"/>
    <w:basedOn w:val="1150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3" w:customStyle="1">
    <w:name w:val="Подподпункт"/>
    <w:basedOn w:val="1152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4" w:customStyle="1">
    <w:name w:val="Заголовок 1 Знак"/>
    <w:basedOn w:val="1106"/>
    <w:link w:val="1103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5" w:customStyle="1">
    <w:name w:val="Заголовок 2 Знак"/>
    <w:basedOn w:val="1106"/>
    <w:link w:val="1104"/>
    <w:rPr>
      <w:rFonts w:eastAsia="Times New Roman" w:cs="Times New Roman"/>
      <w:b/>
      <w:sz w:val="32"/>
      <w:szCs w:val="26"/>
      <w:lang w:eastAsia="ru-RU"/>
    </w:rPr>
  </w:style>
  <w:style w:type="character" w:styleId="1156" w:customStyle="1">
    <w:name w:val="Заголовок 3 Знак"/>
    <w:basedOn w:val="1106"/>
    <w:link w:val="1105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57" w:customStyle="1">
    <w:name w:val="комментарий"/>
    <w:rPr>
      <w:b/>
      <w:i/>
      <w:shd w:val="clear" w:color="auto" w:fill="ffff99"/>
    </w:rPr>
  </w:style>
  <w:style w:type="paragraph" w:styleId="1158" w:customStyle="1">
    <w:name w:val="Table_header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59" w:customStyle="1">
    <w:name w:val="Table_text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corp.roseltorg.ru/" TargetMode="External"/><Relationship Id="rId15" Type="http://schemas.openxmlformats.org/officeDocument/2006/relationships/hyperlink" Target="https://www.roseltorg.ru/personal/rushydro#additional_info" TargetMode="External"/><Relationship Id="rId16" Type="http://schemas.openxmlformats.org/officeDocument/2006/relationships/hyperlink" Target="http://dgk@dgk.ru" TargetMode="External"/><Relationship Id="rId17" Type="http://schemas.openxmlformats.org/officeDocument/2006/relationships/hyperlink" Target="http://banschikova-iv@dgk.ru" TargetMode="External"/><Relationship Id="rId18" Type="http://schemas.openxmlformats.org/officeDocument/2006/relationships/hyperlink" Target="http://banschikova-iv@dgk.ru" TargetMode="External"/><Relationship Id="rId19" Type="http://schemas.openxmlformats.org/officeDocument/2006/relationships/image" Target="media/image2.png"/><Relationship Id="rId20" Type="http://schemas.openxmlformats.org/officeDocument/2006/relationships/image" Target="media/media1.svg"/><Relationship Id="rId21" Type="http://schemas.openxmlformats.org/officeDocument/2006/relationships/image" Target="media/image3.png"/><Relationship Id="rId22" Type="http://schemas.openxmlformats.org/officeDocument/2006/relationships/image" Target="media/image4.png"/><Relationship Id="rId23" Type="http://schemas.openxmlformats.org/officeDocument/2006/relationships/image" Target="media/media2.svg"/><Relationship Id="rId24" Type="http://schemas.openxmlformats.org/officeDocument/2006/relationships/image" Target="media/image5.png"/><Relationship Id="rId25" Type="http://schemas.openxmlformats.org/officeDocument/2006/relationships/image" Target="media/image6.png"/><Relationship Id="rId26" Type="http://schemas.openxmlformats.org/officeDocument/2006/relationships/image" Target="media/media3.svg"/><Relationship Id="rId27" Type="http://schemas.openxmlformats.org/officeDocument/2006/relationships/image" Target="media/image7.png"/><Relationship Id="rId28" Type="http://schemas.openxmlformats.org/officeDocument/2006/relationships/image" Target="media/image8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banschikova-iv</cp:lastModifiedBy>
  <cp:revision>164</cp:revision>
  <dcterms:created xsi:type="dcterms:W3CDTF">2023-08-16T07:54:00Z</dcterms:created>
  <dcterms:modified xsi:type="dcterms:W3CDTF">2025-12-02T23:01:59Z</dcterms:modified>
</cp:coreProperties>
</file>